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31DFC7" w14:textId="77777777" w:rsidR="003C3B17" w:rsidRDefault="003C3B17" w:rsidP="003C3B17">
      <w:pPr>
        <w:ind w:left="432"/>
        <w:rPr>
          <w:b/>
          <w:sz w:val="32"/>
          <w:szCs w:val="32"/>
          <w:lang w:val="en-CA"/>
        </w:rPr>
      </w:pPr>
      <w:r>
        <w:rPr>
          <w:b/>
          <w:sz w:val="32"/>
          <w:szCs w:val="32"/>
        </w:rPr>
        <w:t xml:space="preserve">KWB Comments on NIRB screenings </w:t>
      </w:r>
      <w:r>
        <w:rPr>
          <w:b/>
          <w:sz w:val="26"/>
          <w:szCs w:val="26"/>
        </w:rPr>
        <w:t>15EN049 and 15EN050</w:t>
      </w:r>
    </w:p>
    <w:p w14:paraId="4C628F49" w14:textId="77777777" w:rsidR="003C3B17" w:rsidRDefault="003C3B17" w:rsidP="003C3B17">
      <w:pPr>
        <w:ind w:left="432"/>
        <w:rPr>
          <w:b/>
          <w:sz w:val="32"/>
          <w:szCs w:val="32"/>
        </w:rPr>
      </w:pPr>
    </w:p>
    <w:p w14:paraId="7C1FD3FC" w14:textId="61B50F65" w:rsidR="003C3B17" w:rsidRDefault="003C3B17" w:rsidP="003C3B17">
      <w:pPr>
        <w:ind w:left="432"/>
        <w:rPr>
          <w:sz w:val="26"/>
          <w:szCs w:val="26"/>
        </w:rPr>
      </w:pPr>
      <w:r>
        <w:rPr>
          <w:sz w:val="26"/>
          <w:szCs w:val="26"/>
        </w:rPr>
        <w:t>The Kivalliq Wildlife Board (KWB) is aware that Hunters and Trappers Organizations (HTOs) from the Kivalliq Region with Nunavut Impact Review Board (NIRB) Screenings</w:t>
      </w:r>
      <w:r w:rsidR="00D067D3">
        <w:rPr>
          <w:sz w:val="26"/>
          <w:szCs w:val="26"/>
        </w:rPr>
        <w:t xml:space="preserve">.  </w:t>
      </w:r>
      <w:r>
        <w:rPr>
          <w:sz w:val="26"/>
          <w:szCs w:val="26"/>
        </w:rPr>
        <w:t>In the interests of addressing these concerns, the KWB makes the following recommendations.</w:t>
      </w:r>
    </w:p>
    <w:p w14:paraId="6C145D09" w14:textId="77777777" w:rsidR="003C3B17" w:rsidRDefault="003C3B17" w:rsidP="003C3B17">
      <w:pPr>
        <w:ind w:left="432"/>
        <w:rPr>
          <w:b/>
          <w:sz w:val="32"/>
          <w:szCs w:val="32"/>
        </w:rPr>
      </w:pPr>
    </w:p>
    <w:p w14:paraId="64421116" w14:textId="77777777" w:rsidR="003C3B17" w:rsidRDefault="003C3B17" w:rsidP="003C3B17">
      <w:pPr>
        <w:ind w:left="432"/>
        <w:rPr>
          <w:b/>
          <w:sz w:val="32"/>
          <w:szCs w:val="32"/>
        </w:rPr>
      </w:pPr>
      <w:r>
        <w:rPr>
          <w:b/>
          <w:sz w:val="32"/>
          <w:szCs w:val="32"/>
        </w:rPr>
        <w:t xml:space="preserve">Amaruq, Meadowbank, and </w:t>
      </w:r>
      <w:proofErr w:type="spellStart"/>
      <w:r>
        <w:rPr>
          <w:b/>
          <w:sz w:val="32"/>
          <w:szCs w:val="32"/>
        </w:rPr>
        <w:t>Whitehills</w:t>
      </w:r>
      <w:proofErr w:type="spellEnd"/>
      <w:r>
        <w:rPr>
          <w:b/>
          <w:sz w:val="32"/>
          <w:szCs w:val="32"/>
        </w:rPr>
        <w:t xml:space="preserve"> Project</w:t>
      </w:r>
    </w:p>
    <w:p w14:paraId="55966BB5" w14:textId="77777777" w:rsidR="003C3B17" w:rsidRDefault="003C3B17" w:rsidP="003C3B17">
      <w:pPr>
        <w:ind w:left="432"/>
        <w:rPr>
          <w:b/>
          <w:sz w:val="26"/>
          <w:szCs w:val="26"/>
        </w:rPr>
      </w:pPr>
    </w:p>
    <w:p w14:paraId="06AEDC1E" w14:textId="77777777" w:rsidR="003C3B17" w:rsidRDefault="003C3B17" w:rsidP="003C3B17">
      <w:pPr>
        <w:ind w:left="432"/>
        <w:rPr>
          <w:b/>
          <w:sz w:val="26"/>
          <w:szCs w:val="26"/>
        </w:rPr>
      </w:pPr>
      <w:r>
        <w:rPr>
          <w:b/>
          <w:sz w:val="26"/>
          <w:szCs w:val="26"/>
        </w:rPr>
        <w:t>Heritage Resources</w:t>
      </w:r>
    </w:p>
    <w:p w14:paraId="7D3F2ACF" w14:textId="7FBB840E" w:rsidR="003C3B17" w:rsidRDefault="003C3B17" w:rsidP="003C3B17">
      <w:pPr>
        <w:ind w:left="432"/>
        <w:rPr>
          <w:sz w:val="26"/>
          <w:szCs w:val="26"/>
        </w:rPr>
      </w:pPr>
      <w:r>
        <w:rPr>
          <w:sz w:val="26"/>
          <w:szCs w:val="26"/>
        </w:rPr>
        <w:t>According to a report by the Nunavut Planning Commission, all three projects are located in areas of important historic land use for Inuit from the Gary Lakes and Back River areas. The Baker Lake HTO has repeatedly expressed concern with the preservation of heritage resources (or “</w:t>
      </w:r>
      <w:r w:rsidR="00D067D3">
        <w:rPr>
          <w:sz w:val="26"/>
          <w:szCs w:val="26"/>
        </w:rPr>
        <w:t>archaeological</w:t>
      </w:r>
      <w:r>
        <w:rPr>
          <w:sz w:val="26"/>
          <w:szCs w:val="26"/>
        </w:rPr>
        <w:t xml:space="preserve"> artefacts”) in the above project areas. The HTO is particularly concerned about damage to graves. According to a report by the Nunavut Planning Commission, all three projects are located in areas of important historic land use for Inuit from the Gary Lakes and Back River areas. The KWB is aware that AEM has been collecting IQ and undertaking </w:t>
      </w:r>
      <w:r w:rsidR="00D067D3">
        <w:rPr>
          <w:sz w:val="26"/>
          <w:szCs w:val="26"/>
        </w:rPr>
        <w:t>archaeological</w:t>
      </w:r>
      <w:r>
        <w:rPr>
          <w:sz w:val="26"/>
          <w:szCs w:val="26"/>
        </w:rPr>
        <w:t xml:space="preserve"> studies of its project areas.</w:t>
      </w:r>
    </w:p>
    <w:p w14:paraId="7B5A4513" w14:textId="32C1059E" w:rsidR="003C3B17" w:rsidRDefault="00D067D3" w:rsidP="003C3B17">
      <w:pPr>
        <w:pStyle w:val="ListParagraph"/>
        <w:numPr>
          <w:ilvl w:val="0"/>
          <w:numId w:val="11"/>
        </w:numPr>
        <w:ind w:left="432"/>
        <w:rPr>
          <w:sz w:val="26"/>
          <w:szCs w:val="26"/>
        </w:rPr>
      </w:pPr>
      <w:r>
        <w:rPr>
          <w:sz w:val="26"/>
          <w:szCs w:val="26"/>
        </w:rPr>
        <w:t>Project</w:t>
      </w:r>
      <w:r w:rsidR="003C3B17">
        <w:rPr>
          <w:sz w:val="26"/>
          <w:szCs w:val="26"/>
        </w:rPr>
        <w:t xml:space="preserve"> activity and personnel should be prohibited within 100m of gravesites.</w:t>
      </w:r>
    </w:p>
    <w:p w14:paraId="5118F019" w14:textId="77777777" w:rsidR="003C3B17" w:rsidRDefault="003C3B17" w:rsidP="003C3B17">
      <w:pPr>
        <w:pStyle w:val="ListParagraph"/>
        <w:numPr>
          <w:ilvl w:val="0"/>
          <w:numId w:val="11"/>
        </w:numPr>
        <w:ind w:left="432"/>
        <w:rPr>
          <w:sz w:val="26"/>
          <w:szCs w:val="26"/>
        </w:rPr>
      </w:pPr>
      <w:r>
        <w:rPr>
          <w:sz w:val="26"/>
          <w:szCs w:val="26"/>
        </w:rPr>
        <w:t>AEM should provide a summary of the known heritage resources in the area (through western archeology and IQ).  AEM should also explain how it has changed project activities to mitigate the impacts on these heritage resources.</w:t>
      </w:r>
    </w:p>
    <w:p w14:paraId="44BFD536" w14:textId="77777777" w:rsidR="003C3B17" w:rsidRDefault="003C3B17" w:rsidP="003C3B17">
      <w:pPr>
        <w:ind w:left="432"/>
        <w:rPr>
          <w:sz w:val="26"/>
          <w:szCs w:val="26"/>
        </w:rPr>
      </w:pPr>
    </w:p>
    <w:p w14:paraId="0E634233" w14:textId="77777777" w:rsidR="003C3B17" w:rsidRDefault="003C3B17" w:rsidP="003C3B17">
      <w:pPr>
        <w:ind w:left="432"/>
        <w:rPr>
          <w:b/>
          <w:sz w:val="26"/>
          <w:szCs w:val="26"/>
        </w:rPr>
      </w:pPr>
      <w:r>
        <w:rPr>
          <w:b/>
          <w:sz w:val="26"/>
          <w:szCs w:val="26"/>
        </w:rPr>
        <w:t>Inuit Land Use</w:t>
      </w:r>
    </w:p>
    <w:p w14:paraId="10EF603E" w14:textId="77777777" w:rsidR="003C3B17" w:rsidRDefault="003C3B17" w:rsidP="003C3B17">
      <w:pPr>
        <w:ind w:left="432"/>
        <w:rPr>
          <w:sz w:val="26"/>
          <w:szCs w:val="26"/>
        </w:rPr>
      </w:pPr>
      <w:r>
        <w:rPr>
          <w:sz w:val="26"/>
          <w:szCs w:val="26"/>
        </w:rPr>
        <w:t>The area north of Baker Lake in an area of important land use for Baker Lake Inuit. Caribou hunting, muskox hunting, fishing, furbearer hunting, camping, and travelling to the Kitikmeot region by snowmobile are just a few examples of the many ways Inuit from Baker Lake continue to use the project area today. KWB is aware that AEM has been collecting IQ about Inuit harvesting and land use near the project areas.</w:t>
      </w:r>
    </w:p>
    <w:p w14:paraId="4A4BE977" w14:textId="77777777" w:rsidR="003C3B17" w:rsidRDefault="003C3B17" w:rsidP="003C3B17">
      <w:pPr>
        <w:pStyle w:val="ListParagraph"/>
        <w:numPr>
          <w:ilvl w:val="0"/>
          <w:numId w:val="12"/>
        </w:numPr>
        <w:ind w:left="432"/>
        <w:rPr>
          <w:sz w:val="26"/>
          <w:szCs w:val="26"/>
        </w:rPr>
      </w:pPr>
      <w:r>
        <w:rPr>
          <w:sz w:val="26"/>
          <w:szCs w:val="26"/>
        </w:rPr>
        <w:t>AEM should provide a summary of its knowledge of Inuit land use in/near the project area. AEM should also explain how it has changed project activities (for example, by changing the location or timing of some activities) to mitigate impacts on Inuit land use.</w:t>
      </w:r>
    </w:p>
    <w:p w14:paraId="5D4843E2" w14:textId="77777777" w:rsidR="003C3B17" w:rsidRDefault="003C3B17" w:rsidP="003C3B17">
      <w:pPr>
        <w:ind w:left="432"/>
        <w:rPr>
          <w:sz w:val="26"/>
          <w:szCs w:val="26"/>
        </w:rPr>
      </w:pPr>
    </w:p>
    <w:p w14:paraId="496AC5F8" w14:textId="77777777" w:rsidR="003C3B17" w:rsidRDefault="003C3B17" w:rsidP="003C3B17">
      <w:pPr>
        <w:ind w:left="432"/>
        <w:rPr>
          <w:sz w:val="26"/>
          <w:szCs w:val="26"/>
        </w:rPr>
      </w:pPr>
    </w:p>
    <w:p w14:paraId="38612425" w14:textId="77777777" w:rsidR="003C3B17" w:rsidRDefault="003C3B17" w:rsidP="003C3B17">
      <w:pPr>
        <w:ind w:left="432"/>
        <w:rPr>
          <w:b/>
          <w:sz w:val="26"/>
          <w:szCs w:val="26"/>
        </w:rPr>
      </w:pPr>
      <w:r>
        <w:rPr>
          <w:b/>
          <w:sz w:val="26"/>
          <w:szCs w:val="26"/>
        </w:rPr>
        <w:lastRenderedPageBreak/>
        <w:t>Caribou Habitat</w:t>
      </w:r>
    </w:p>
    <w:p w14:paraId="01B480A1" w14:textId="77777777" w:rsidR="003C3B17" w:rsidRDefault="003C3B17" w:rsidP="003C3B17">
      <w:pPr>
        <w:ind w:left="432"/>
        <w:rPr>
          <w:sz w:val="26"/>
          <w:szCs w:val="26"/>
        </w:rPr>
      </w:pPr>
      <w:r>
        <w:rPr>
          <w:sz w:val="26"/>
          <w:szCs w:val="26"/>
        </w:rPr>
        <w:t>According to GN collar data, the project area is heavily used for early fall migrations, rutting, and late fall migrations. Collar data also notes that caribou utilize the project area during the summer and late summer. Hunting caribou in/near the project area is an important subsistence activity, especially during the fall migration season.</w:t>
      </w:r>
    </w:p>
    <w:p w14:paraId="04B74428" w14:textId="77777777" w:rsidR="003C3B17" w:rsidRDefault="003C3B17" w:rsidP="003C3B17">
      <w:pPr>
        <w:pStyle w:val="ListParagraph"/>
        <w:numPr>
          <w:ilvl w:val="0"/>
          <w:numId w:val="12"/>
        </w:numPr>
        <w:ind w:left="432"/>
        <w:rPr>
          <w:sz w:val="26"/>
          <w:szCs w:val="26"/>
        </w:rPr>
      </w:pPr>
      <w:r>
        <w:rPr>
          <w:sz w:val="26"/>
          <w:szCs w:val="26"/>
        </w:rPr>
        <w:t>There should be seasonal restrictions placed on project activities that are most disruptive to caribou (e.g. airborne geophysical surveys and other activities requiring low-flying helicopter traffic). These activities should be prohibited during the early fall migration, rutting, and late fall migration seasons.</w:t>
      </w:r>
    </w:p>
    <w:p w14:paraId="05BE77B2" w14:textId="77777777" w:rsidR="003C3B17" w:rsidRDefault="003C3B17" w:rsidP="003C3B17">
      <w:pPr>
        <w:pStyle w:val="ListParagraph"/>
        <w:numPr>
          <w:ilvl w:val="0"/>
          <w:numId w:val="12"/>
        </w:numPr>
        <w:ind w:left="432"/>
        <w:rPr>
          <w:sz w:val="26"/>
          <w:szCs w:val="26"/>
        </w:rPr>
      </w:pPr>
      <w:r>
        <w:rPr>
          <w:sz w:val="26"/>
          <w:szCs w:val="26"/>
        </w:rPr>
        <w:t>All other project activities should cease when caribou approach during the early fall migratory season, rutting period, and late fall migration.</w:t>
      </w:r>
    </w:p>
    <w:p w14:paraId="7702A4DE" w14:textId="77777777" w:rsidR="003C3B17" w:rsidRDefault="003C3B17" w:rsidP="003C3B17">
      <w:pPr>
        <w:ind w:left="432"/>
        <w:rPr>
          <w:sz w:val="26"/>
          <w:szCs w:val="26"/>
        </w:rPr>
      </w:pPr>
    </w:p>
    <w:p w14:paraId="3B7BD8F4" w14:textId="77777777" w:rsidR="003C3B17" w:rsidRDefault="003C3B17" w:rsidP="003C3B17">
      <w:pPr>
        <w:ind w:left="432"/>
        <w:rPr>
          <w:sz w:val="26"/>
          <w:szCs w:val="26"/>
        </w:rPr>
      </w:pPr>
      <w:r>
        <w:rPr>
          <w:b/>
          <w:sz w:val="26"/>
          <w:szCs w:val="26"/>
        </w:rPr>
        <w:t>Road Dust</w:t>
      </w:r>
    </w:p>
    <w:p w14:paraId="193EE8C7" w14:textId="77777777" w:rsidR="003C3B17" w:rsidRDefault="003C3B17" w:rsidP="003C3B17">
      <w:pPr>
        <w:ind w:left="432"/>
        <w:rPr>
          <w:sz w:val="26"/>
          <w:szCs w:val="26"/>
        </w:rPr>
      </w:pPr>
      <w:r>
        <w:rPr>
          <w:sz w:val="26"/>
          <w:szCs w:val="26"/>
        </w:rPr>
        <w:t xml:space="preserve">Hunters in Baker Lake have repeatedly notified NIRB that they are unhappy with the levels of dust produced by the all season access road to the Meadowbank gold mine. The Baker Lake HTO has stated that dust produced from the Meadowbank road is having significant impacts from the perspective of its members. The Baker Lake HTO is concerned that this problem will be made worse by the approval of the Amaruq all season road and increased exploration in the area. </w:t>
      </w:r>
    </w:p>
    <w:p w14:paraId="1D74CF7F" w14:textId="77777777" w:rsidR="003C3B17" w:rsidRDefault="003C3B17" w:rsidP="003C3B17">
      <w:pPr>
        <w:ind w:left="432"/>
        <w:rPr>
          <w:sz w:val="26"/>
          <w:szCs w:val="26"/>
        </w:rPr>
      </w:pPr>
    </w:p>
    <w:p w14:paraId="2548ED44" w14:textId="77777777" w:rsidR="003C3B17" w:rsidRDefault="003C3B17" w:rsidP="003C3B17">
      <w:pPr>
        <w:ind w:left="432"/>
        <w:rPr>
          <w:sz w:val="26"/>
          <w:szCs w:val="26"/>
        </w:rPr>
      </w:pPr>
      <w:r>
        <w:rPr>
          <w:sz w:val="26"/>
          <w:szCs w:val="26"/>
        </w:rPr>
        <w:t xml:space="preserve">NIRB has issued project and conditions for the Meadowbank and Amaruq roads, directing AEM to supress dust on these roads. However, AEM has yet to suppress dust on the Meadowbank road, and has adopted a different “interpretation” of its terms and conditions. In its annual monitoring reports, NIRB has repeatedly directed AEM to begin suppressing dust on the Meadowbank road, with no results. </w:t>
      </w:r>
    </w:p>
    <w:p w14:paraId="79C31108" w14:textId="77777777" w:rsidR="003C3B17" w:rsidRDefault="003C3B17" w:rsidP="003C3B17">
      <w:pPr>
        <w:pStyle w:val="ListParagraph"/>
        <w:numPr>
          <w:ilvl w:val="0"/>
          <w:numId w:val="12"/>
        </w:numPr>
        <w:ind w:left="432"/>
        <w:rPr>
          <w:sz w:val="26"/>
          <w:szCs w:val="26"/>
        </w:rPr>
      </w:pPr>
      <w:r>
        <w:rPr>
          <w:sz w:val="26"/>
          <w:szCs w:val="26"/>
        </w:rPr>
        <w:t>AEM should comply with NIRB terms and conditions and apply dust suppressant to both the Meadowbank and Amaruq all season roads. At minimum, AEM should suppress dust on the sections of the Meadowbank road which are adjacent to important areas of Inuit land use.</w:t>
      </w:r>
    </w:p>
    <w:p w14:paraId="4B715D1C" w14:textId="77777777" w:rsidR="003C3B17" w:rsidRDefault="003C3B17" w:rsidP="003C3B17">
      <w:pPr>
        <w:ind w:left="432"/>
        <w:rPr>
          <w:sz w:val="26"/>
          <w:szCs w:val="26"/>
        </w:rPr>
      </w:pPr>
    </w:p>
    <w:p w14:paraId="570DE917" w14:textId="77777777" w:rsidR="003C3B17" w:rsidRDefault="003C3B17" w:rsidP="003C3B17">
      <w:pPr>
        <w:ind w:left="432"/>
        <w:rPr>
          <w:sz w:val="26"/>
          <w:szCs w:val="26"/>
        </w:rPr>
      </w:pPr>
      <w:r>
        <w:rPr>
          <w:b/>
          <w:sz w:val="26"/>
          <w:szCs w:val="26"/>
        </w:rPr>
        <w:t>Marine Shipping</w:t>
      </w:r>
    </w:p>
    <w:p w14:paraId="4BB4031A" w14:textId="77777777" w:rsidR="003C3B17" w:rsidRDefault="003C3B17" w:rsidP="003C3B17">
      <w:pPr>
        <w:ind w:left="432"/>
        <w:rPr>
          <w:sz w:val="26"/>
          <w:szCs w:val="26"/>
        </w:rPr>
      </w:pPr>
      <w:r>
        <w:rPr>
          <w:sz w:val="26"/>
          <w:szCs w:val="26"/>
        </w:rPr>
        <w:t xml:space="preserve">Hunters in Chesterfield Inlet have repeatedly notified NIRB and other parties that the increased marine shipping through Chesterfield Inlet, associated with AEM’s activities, is having a significant seasonal impact on marine mammals. Hunters see very few marine mammals in Chesterfield Inlet during shipping </w:t>
      </w:r>
      <w:r>
        <w:rPr>
          <w:sz w:val="26"/>
          <w:szCs w:val="26"/>
        </w:rPr>
        <w:lastRenderedPageBreak/>
        <w:t>season. This is clearly a cause of concern and frustration for many hunters, who now have to travel further to catch animals (at increased expense). If further mineral development takes place near Baker Lake, and the volume of shipping further increases, the impact to Chesterfield Inlet hunters may grow to an even larger magnitude.</w:t>
      </w:r>
    </w:p>
    <w:p w14:paraId="53E7DDED" w14:textId="77777777" w:rsidR="003C3B17" w:rsidRDefault="003C3B17" w:rsidP="003C3B17">
      <w:pPr>
        <w:pStyle w:val="ListParagraph"/>
        <w:numPr>
          <w:ilvl w:val="0"/>
          <w:numId w:val="12"/>
        </w:numPr>
        <w:ind w:left="432"/>
        <w:rPr>
          <w:sz w:val="26"/>
          <w:szCs w:val="26"/>
        </w:rPr>
      </w:pPr>
      <w:r>
        <w:rPr>
          <w:sz w:val="26"/>
          <w:szCs w:val="26"/>
        </w:rPr>
        <w:t>Regulators should consider imposing a limit on the total number of ships and barges that can travel between Baker Lake and Chesterfield Inlet each season.</w:t>
      </w:r>
    </w:p>
    <w:p w14:paraId="0139B301" w14:textId="77777777" w:rsidR="003C3B17" w:rsidRDefault="003C3B17" w:rsidP="003C3B17">
      <w:pPr>
        <w:pStyle w:val="ListParagraph"/>
        <w:numPr>
          <w:ilvl w:val="0"/>
          <w:numId w:val="12"/>
        </w:numPr>
        <w:ind w:left="432"/>
        <w:rPr>
          <w:sz w:val="26"/>
          <w:szCs w:val="26"/>
        </w:rPr>
      </w:pPr>
      <w:r>
        <w:rPr>
          <w:sz w:val="26"/>
          <w:szCs w:val="26"/>
        </w:rPr>
        <w:t>If feasible, regulators and the proponent should explore other technical mitigation measures to reduce the impact of marine shipping on marine mammals in Chesterfield Inlet.</w:t>
      </w:r>
    </w:p>
    <w:p w14:paraId="1D94E20A" w14:textId="77777777" w:rsidR="003C3B17" w:rsidRDefault="003C3B17" w:rsidP="003C3B17">
      <w:pPr>
        <w:ind w:left="432"/>
        <w:rPr>
          <w:sz w:val="26"/>
          <w:szCs w:val="26"/>
        </w:rPr>
      </w:pPr>
    </w:p>
    <w:p w14:paraId="73B067B5" w14:textId="77777777" w:rsidR="003C3B17" w:rsidRDefault="003C3B17" w:rsidP="003C3B17">
      <w:pPr>
        <w:ind w:left="432"/>
        <w:rPr>
          <w:b/>
          <w:sz w:val="32"/>
          <w:szCs w:val="32"/>
        </w:rPr>
      </w:pPr>
      <w:r>
        <w:rPr>
          <w:b/>
          <w:sz w:val="32"/>
          <w:szCs w:val="32"/>
        </w:rPr>
        <w:t>Peter, Fox, and Parker Lakes Project</w:t>
      </w:r>
    </w:p>
    <w:p w14:paraId="51877A6F" w14:textId="77777777" w:rsidR="003C3B17" w:rsidRDefault="003C3B17" w:rsidP="003C3B17">
      <w:pPr>
        <w:ind w:left="432"/>
        <w:rPr>
          <w:b/>
          <w:sz w:val="26"/>
          <w:szCs w:val="26"/>
        </w:rPr>
      </w:pPr>
    </w:p>
    <w:p w14:paraId="5570D74E" w14:textId="77777777" w:rsidR="003C3B17" w:rsidRDefault="003C3B17" w:rsidP="003C3B17">
      <w:pPr>
        <w:ind w:left="432"/>
        <w:rPr>
          <w:b/>
          <w:sz w:val="26"/>
          <w:szCs w:val="26"/>
        </w:rPr>
      </w:pPr>
      <w:r>
        <w:rPr>
          <w:b/>
          <w:sz w:val="26"/>
          <w:szCs w:val="26"/>
        </w:rPr>
        <w:t>Inuit Land Use and Heritage</w:t>
      </w:r>
    </w:p>
    <w:p w14:paraId="6500A326" w14:textId="77777777" w:rsidR="003C3B17" w:rsidRDefault="003C3B17" w:rsidP="003C3B17">
      <w:pPr>
        <w:ind w:left="432"/>
        <w:rPr>
          <w:sz w:val="26"/>
          <w:szCs w:val="26"/>
        </w:rPr>
      </w:pPr>
      <w:r>
        <w:rPr>
          <w:sz w:val="26"/>
          <w:szCs w:val="26"/>
        </w:rPr>
        <w:t>The project area includes areas of current and past Inuit land use.</w:t>
      </w:r>
    </w:p>
    <w:p w14:paraId="647FE482" w14:textId="77777777" w:rsidR="003C3B17" w:rsidRDefault="003C3B17" w:rsidP="003C3B17">
      <w:pPr>
        <w:pStyle w:val="ListParagraph"/>
        <w:numPr>
          <w:ilvl w:val="0"/>
          <w:numId w:val="11"/>
        </w:numPr>
        <w:ind w:left="432"/>
        <w:rPr>
          <w:sz w:val="26"/>
          <w:szCs w:val="26"/>
        </w:rPr>
      </w:pPr>
      <w:r>
        <w:rPr>
          <w:sz w:val="26"/>
          <w:szCs w:val="26"/>
        </w:rPr>
        <w:t>AEM should provide a summary of the known heritage resources in the area (through western archeology and IQ).  AEM should also explain how it has changed project activities to mitigate the impacts on these heritage resources.</w:t>
      </w:r>
    </w:p>
    <w:p w14:paraId="196E4B29" w14:textId="77777777" w:rsidR="003C3B17" w:rsidRDefault="003C3B17" w:rsidP="003C3B17">
      <w:pPr>
        <w:pStyle w:val="ListParagraph"/>
        <w:numPr>
          <w:ilvl w:val="0"/>
          <w:numId w:val="11"/>
        </w:numPr>
        <w:ind w:left="432"/>
        <w:rPr>
          <w:sz w:val="26"/>
          <w:szCs w:val="26"/>
        </w:rPr>
      </w:pPr>
      <w:r>
        <w:rPr>
          <w:sz w:val="26"/>
          <w:szCs w:val="26"/>
        </w:rPr>
        <w:t>AEM should provide a summary of its knowledge of Inuit land use in/near the project area. AEM should also explain how it has changed project activities (for example, by changing the location or timing of some activities) to mitigate impacts on Inuit land use.</w:t>
      </w:r>
    </w:p>
    <w:p w14:paraId="37462801" w14:textId="77777777" w:rsidR="003C3B17" w:rsidRDefault="003C3B17" w:rsidP="003C3B17">
      <w:pPr>
        <w:ind w:left="432"/>
        <w:rPr>
          <w:b/>
          <w:sz w:val="26"/>
          <w:szCs w:val="26"/>
        </w:rPr>
      </w:pPr>
    </w:p>
    <w:p w14:paraId="19798C7A" w14:textId="77777777" w:rsidR="003C3B17" w:rsidRDefault="003C3B17" w:rsidP="003C3B17">
      <w:pPr>
        <w:ind w:left="432"/>
        <w:rPr>
          <w:b/>
          <w:sz w:val="26"/>
          <w:szCs w:val="26"/>
        </w:rPr>
      </w:pPr>
      <w:r>
        <w:rPr>
          <w:b/>
          <w:sz w:val="26"/>
          <w:szCs w:val="26"/>
        </w:rPr>
        <w:t>Caribou Habitat</w:t>
      </w:r>
    </w:p>
    <w:p w14:paraId="670EDD30" w14:textId="77777777" w:rsidR="003C3B17" w:rsidRDefault="003C3B17" w:rsidP="003C3B17">
      <w:pPr>
        <w:ind w:left="432"/>
        <w:rPr>
          <w:sz w:val="26"/>
          <w:szCs w:val="26"/>
        </w:rPr>
      </w:pPr>
      <w:r>
        <w:rPr>
          <w:sz w:val="26"/>
          <w:szCs w:val="26"/>
        </w:rPr>
        <w:t>According to GN collar data, aspects of the project appear to lie within the calving grounds of the Qamanirjuaq</w:t>
      </w:r>
      <w:bookmarkStart w:id="0" w:name="_GoBack"/>
      <w:bookmarkEnd w:id="0"/>
      <w:r>
        <w:rPr>
          <w:sz w:val="26"/>
          <w:szCs w:val="26"/>
        </w:rPr>
        <w:t xml:space="preserve"> caribou herd. Post-calving is widely acknowledged as a particularly sensitive time in a caribou’s lifecycle. Post-calving grounds are likewise acknowledged as particularly important habitat for major caribou herds. </w:t>
      </w:r>
    </w:p>
    <w:p w14:paraId="40487578" w14:textId="77777777" w:rsidR="003C3B17" w:rsidRDefault="003C3B17" w:rsidP="003C3B17">
      <w:pPr>
        <w:pStyle w:val="ListParagraph"/>
        <w:numPr>
          <w:ilvl w:val="0"/>
          <w:numId w:val="13"/>
        </w:numPr>
        <w:ind w:left="432"/>
        <w:rPr>
          <w:sz w:val="26"/>
          <w:szCs w:val="26"/>
        </w:rPr>
      </w:pPr>
      <w:r>
        <w:rPr>
          <w:sz w:val="26"/>
          <w:szCs w:val="26"/>
        </w:rPr>
        <w:t xml:space="preserve">Seasonal shutdowns of all project activities located within post-calving grounds during post-calving season should be required. </w:t>
      </w:r>
    </w:p>
    <w:p w14:paraId="36CF602D" w14:textId="77777777" w:rsidR="003C3B17" w:rsidRDefault="003C3B17" w:rsidP="003C3B17">
      <w:pPr>
        <w:pStyle w:val="ListParagraph"/>
        <w:numPr>
          <w:ilvl w:val="0"/>
          <w:numId w:val="13"/>
        </w:numPr>
        <w:ind w:left="432"/>
        <w:rPr>
          <w:sz w:val="26"/>
          <w:szCs w:val="26"/>
        </w:rPr>
      </w:pPr>
      <w:r>
        <w:rPr>
          <w:sz w:val="26"/>
          <w:szCs w:val="26"/>
        </w:rPr>
        <w:t>Activity outside of the recognized post-calving grounds should cease if/when caribou approach.</w:t>
      </w:r>
    </w:p>
    <w:p w14:paraId="4CA9612F" w14:textId="77777777" w:rsidR="003C3B17" w:rsidRDefault="003C3B17" w:rsidP="003C3B17">
      <w:pPr>
        <w:ind w:left="432"/>
        <w:rPr>
          <w:sz w:val="26"/>
          <w:szCs w:val="26"/>
        </w:rPr>
      </w:pPr>
    </w:p>
    <w:p w14:paraId="190222D1" w14:textId="77777777" w:rsidR="003C3B17" w:rsidRDefault="003C3B17" w:rsidP="003C3B17">
      <w:pPr>
        <w:ind w:left="432"/>
        <w:rPr>
          <w:sz w:val="26"/>
          <w:szCs w:val="26"/>
        </w:rPr>
      </w:pPr>
      <w:r>
        <w:rPr>
          <w:sz w:val="26"/>
          <w:szCs w:val="26"/>
        </w:rPr>
        <w:t xml:space="preserve">According to the Baker Lake and Chesterfield Inlet HTOs, caribou herds migrate through these areas during the late spring and late summer. According to GN collar data, caribou make use of the project areas during the spring, and </w:t>
      </w:r>
      <w:r>
        <w:rPr>
          <w:sz w:val="26"/>
          <w:szCs w:val="26"/>
        </w:rPr>
        <w:lastRenderedPageBreak/>
        <w:t>significant use of the area in the summer, and late summer periods. These migrations are very important to hunters in these communities – Qamanirjuaq caribou migrate through the project area in spring, and reach numerous important hunting areas for Baker Lake and Chesterfield Inlet hunters. As Baker Lake is an inland community, disruption to the Qamanirjuaq caribou herd’s migration to the community could have a very significant impact on the local hunting economy.</w:t>
      </w:r>
    </w:p>
    <w:p w14:paraId="01FE5E22" w14:textId="77777777" w:rsidR="003C3B17" w:rsidRDefault="003C3B17" w:rsidP="003C3B17">
      <w:pPr>
        <w:ind w:left="432"/>
        <w:rPr>
          <w:sz w:val="26"/>
          <w:szCs w:val="26"/>
        </w:rPr>
      </w:pPr>
    </w:p>
    <w:p w14:paraId="166DE64B" w14:textId="77777777" w:rsidR="003C3B17" w:rsidRDefault="003C3B17" w:rsidP="003C3B17">
      <w:pPr>
        <w:pStyle w:val="ListParagraph"/>
        <w:numPr>
          <w:ilvl w:val="0"/>
          <w:numId w:val="14"/>
        </w:numPr>
        <w:ind w:left="432"/>
        <w:rPr>
          <w:sz w:val="26"/>
          <w:szCs w:val="26"/>
        </w:rPr>
      </w:pPr>
      <w:r>
        <w:rPr>
          <w:sz w:val="26"/>
          <w:szCs w:val="26"/>
        </w:rPr>
        <w:t>Seasonal restrictions should be imposed on some project activities during migration seasons (e.g. airborne geophysical surveys and other particularly disruptive activities should be prohibited during migration season, etc.)</w:t>
      </w:r>
    </w:p>
    <w:p w14:paraId="1128779C" w14:textId="77777777" w:rsidR="003C3B17" w:rsidRDefault="003C3B17" w:rsidP="003C3B17">
      <w:pPr>
        <w:pStyle w:val="ListParagraph"/>
        <w:numPr>
          <w:ilvl w:val="0"/>
          <w:numId w:val="14"/>
        </w:numPr>
        <w:ind w:left="432"/>
        <w:rPr>
          <w:sz w:val="26"/>
          <w:szCs w:val="26"/>
        </w:rPr>
      </w:pPr>
      <w:r>
        <w:rPr>
          <w:sz w:val="26"/>
          <w:szCs w:val="26"/>
        </w:rPr>
        <w:t xml:space="preserve">All project activities should cease when caribou migrate through the area. </w:t>
      </w:r>
    </w:p>
    <w:p w14:paraId="53685DA0" w14:textId="77777777" w:rsidR="00CC5562" w:rsidRPr="00C5271F" w:rsidRDefault="00CC5562" w:rsidP="003C3B17">
      <w:pPr>
        <w:ind w:left="432"/>
        <w:rPr>
          <w:lang w:val="en-CA"/>
        </w:rPr>
      </w:pPr>
    </w:p>
    <w:sectPr w:rsidR="00CC5562" w:rsidRPr="00C5271F" w:rsidSect="00142F10">
      <w:headerReference w:type="even" r:id="rId8"/>
      <w:headerReference w:type="default" r:id="rId9"/>
      <w:footerReference w:type="even" r:id="rId10"/>
      <w:footerReference w:type="default" r:id="rId11"/>
      <w:headerReference w:type="first" r:id="rId12"/>
      <w:footerReference w:type="first" r:id="rId13"/>
      <w:pgSz w:w="12240" w:h="15840"/>
      <w:pgMar w:top="2977" w:right="1417" w:bottom="1134" w:left="1417" w:header="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C914CC" w14:textId="77777777" w:rsidR="00081299" w:rsidRDefault="00081299" w:rsidP="008351A2">
      <w:r>
        <w:separator/>
      </w:r>
    </w:p>
  </w:endnote>
  <w:endnote w:type="continuationSeparator" w:id="0">
    <w:p w14:paraId="26CD4658" w14:textId="77777777" w:rsidR="00081299" w:rsidRDefault="00081299" w:rsidP="00835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Arial Unicode MS"/>
    <w:panose1 w:val="02020609040205080304"/>
    <w:charset w:val="80"/>
    <w:family w:val="roman"/>
    <w:notTrueType/>
    <w:pitch w:val="fixed"/>
    <w:sig w:usb0="00000000" w:usb1="08070000" w:usb2="00000010" w:usb3="00000000" w:csb0="00020000"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F0264E" w14:textId="77777777" w:rsidR="00CF4843" w:rsidRDefault="00CF48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06B53D" w14:textId="65107CA5" w:rsidR="0055449C" w:rsidRDefault="00F53EA7">
    <w:pPr>
      <w:pStyle w:val="Footer"/>
    </w:pPr>
    <w:r>
      <w:rPr>
        <w:noProof/>
        <w:lang w:val="en-US" w:eastAsia="en-US"/>
      </w:rPr>
      <mc:AlternateContent>
        <mc:Choice Requires="wps">
          <w:drawing>
            <wp:anchor distT="0" distB="0" distL="114300" distR="114300" simplePos="0" relativeHeight="251659264" behindDoc="0" locked="0" layoutInCell="1" allowOverlap="1" wp14:anchorId="6AE044B2" wp14:editId="44900B5B">
              <wp:simplePos x="0" y="0"/>
              <wp:positionH relativeFrom="column">
                <wp:posOffset>228600</wp:posOffset>
              </wp:positionH>
              <wp:positionV relativeFrom="paragraph">
                <wp:posOffset>118110</wp:posOffset>
              </wp:positionV>
              <wp:extent cx="6515100" cy="342900"/>
              <wp:effectExtent l="0" t="0" r="0" b="12700"/>
              <wp:wrapNone/>
              <wp:docPr id="5"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5100" cy="3429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058D46AA" w14:textId="77EED2C8" w:rsidR="0055449C" w:rsidRPr="00A00398" w:rsidRDefault="0055449C">
                          <w:pPr>
                            <w:rPr>
                              <w:rFonts w:ascii="Arial" w:hAnsi="Arial"/>
                              <w:color w:val="FFFFFF"/>
                              <w:sz w:val="18"/>
                              <w:szCs w:val="18"/>
                            </w:rPr>
                          </w:pPr>
                          <w:r w:rsidRPr="00A00398">
                            <w:rPr>
                              <w:rFonts w:ascii="Arial" w:hAnsi="Arial"/>
                              <w:color w:val="FFFFFF"/>
                              <w:sz w:val="18"/>
                              <w:szCs w:val="18"/>
                            </w:rPr>
                            <w:t>Footer to change</w:t>
                          </w:r>
                          <w:r w:rsidR="00F1312F" w:rsidRPr="00A00398">
                            <w:rPr>
                              <w:rFonts w:ascii="Arial" w:hAnsi="Arial"/>
                              <w:color w:val="FFFFFF"/>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AE044B2" id="_x0000_t202" coordsize="21600,21600" o:spt="202" path="m,l,21600r21600,l21600,xe">
              <v:stroke joinstyle="miter"/>
              <v:path gradientshapeok="t" o:connecttype="rect"/>
            </v:shapetype>
            <v:shape id="Zone de texte 4" o:spid="_x0000_s1026" type="#_x0000_t202" style="position:absolute;margin-left:18pt;margin-top:9.3pt;width:513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" filled="f" stroked="f">
              <v:path arrowok="t"/>
              <v:textbox>
                <w:txbxContent>
                  <w:p w14:paraId="058D46AA" w14:textId="77EED2C8" w:rsidR="0055449C" w:rsidRPr="00A00398" w:rsidRDefault="0055449C">
                    <w:pPr>
                      <w:rPr>
                        <w:rFonts w:ascii="Arial" w:hAnsi="Arial"/>
                        <w:color w:val="FFFFFF"/>
                        <w:sz w:val="18"/>
                        <w:szCs w:val="18"/>
                      </w:rPr>
                    </w:pPr>
                    <w:r w:rsidRPr="00A00398">
                      <w:rPr>
                        <w:rFonts w:ascii="Arial" w:hAnsi="Arial"/>
                        <w:color w:val="FFFFFF"/>
                        <w:sz w:val="18"/>
                        <w:szCs w:val="18"/>
                      </w:rPr>
                      <w:t>Footer to change</w:t>
                    </w:r>
                    <w:r w:rsidR="00F1312F" w:rsidRPr="00A00398">
                      <w:rPr>
                        <w:rFonts w:ascii="Arial" w:hAnsi="Arial"/>
                        <w:color w:val="FFFFFF"/>
                        <w:sz w:val="18"/>
                        <w:szCs w:val="18"/>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249C85" w14:textId="77777777" w:rsidR="00CF4843" w:rsidRDefault="00CF48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4D2ABE" w14:textId="77777777" w:rsidR="00081299" w:rsidRDefault="00081299" w:rsidP="008351A2">
      <w:r>
        <w:separator/>
      </w:r>
    </w:p>
  </w:footnote>
  <w:footnote w:type="continuationSeparator" w:id="0">
    <w:p w14:paraId="52AD02B3" w14:textId="77777777" w:rsidR="00081299" w:rsidRDefault="00081299" w:rsidP="008351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60E28E" w14:textId="77777777" w:rsidR="00CF4843" w:rsidRDefault="00CF484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849AD5" w14:textId="2C8C8027" w:rsidR="0055449C" w:rsidRDefault="006B45F6" w:rsidP="008351A2">
    <w:pPr>
      <w:pStyle w:val="Header"/>
      <w:ind w:left="-1417" w:right="-1367"/>
    </w:pPr>
    <w:r>
      <w:rPr>
        <w:noProof/>
        <w:lang w:val="en-US" w:eastAsia="en-US"/>
      </w:rPr>
      <w:drawing>
        <wp:anchor distT="0" distB="0" distL="114300" distR="114300" simplePos="0" relativeHeight="251660288" behindDoc="1" locked="0" layoutInCell="1" allowOverlap="1" wp14:anchorId="114A6D08" wp14:editId="02DD04C9">
          <wp:simplePos x="0" y="0"/>
          <wp:positionH relativeFrom="column">
            <wp:posOffset>-899795</wp:posOffset>
          </wp:positionH>
          <wp:positionV relativeFrom="paragraph">
            <wp:posOffset>177</wp:posOffset>
          </wp:positionV>
          <wp:extent cx="7772127" cy="10058046"/>
          <wp:effectExtent l="0" t="0" r="635" b="635"/>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2_KWB_final.png"/>
                  <pic:cNvPicPr/>
                </pic:nvPicPr>
                <pic:blipFill>
                  <a:blip r:embed="rId1">
                    <a:extLst>
                      <a:ext uri="{28A0092B-C50C-407E-A947-70E740481C1C}">
                        <a14:useLocalDpi xmlns:a14="http://schemas.microsoft.com/office/drawing/2010/main" val="0"/>
                      </a:ext>
                    </a:extLst>
                  </a:blip>
                  <a:stretch>
                    <a:fillRect/>
                  </a:stretch>
                </pic:blipFill>
                <pic:spPr>
                  <a:xfrm>
                    <a:off x="0" y="0"/>
                    <a:ext cx="7772127" cy="10058046"/>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BB397" w14:textId="77777777" w:rsidR="00CF4843" w:rsidRDefault="00CF484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834854"/>
    <w:multiLevelType w:val="hybridMultilevel"/>
    <w:tmpl w:val="28A83ABE"/>
    <w:lvl w:ilvl="0" w:tplc="F626A6C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9466F63"/>
    <w:multiLevelType w:val="multilevel"/>
    <w:tmpl w:val="5E96206A"/>
    <w:lvl w:ilvl="0">
      <w:start w:val="1"/>
      <w:numFmt w:val="upp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upperLetter"/>
      <w:lvlText w:val="(%5)"/>
      <w:lvlJc w:val="left"/>
      <w:pPr>
        <w:ind w:left="99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C025EC3"/>
    <w:multiLevelType w:val="hybridMultilevel"/>
    <w:tmpl w:val="E8B62186"/>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 w15:restartNumberingAfterBreak="0">
    <w:nsid w:val="0E626691"/>
    <w:multiLevelType w:val="hybridMultilevel"/>
    <w:tmpl w:val="2ACA080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238D05CE"/>
    <w:multiLevelType w:val="hybridMultilevel"/>
    <w:tmpl w:val="B016E358"/>
    <w:lvl w:ilvl="0" w:tplc="525CF558">
      <w:start w:val="1"/>
      <w:numFmt w:val="upp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5E171C8"/>
    <w:multiLevelType w:val="multilevel"/>
    <w:tmpl w:val="5E96206A"/>
    <w:lvl w:ilvl="0">
      <w:start w:val="1"/>
      <w:numFmt w:val="upp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upp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E65629"/>
    <w:multiLevelType w:val="hybridMultilevel"/>
    <w:tmpl w:val="137CFB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 w15:restartNumberingAfterBreak="0">
    <w:nsid w:val="2B6D1E31"/>
    <w:multiLevelType w:val="multilevel"/>
    <w:tmpl w:val="C8F4DF4E"/>
    <w:lvl w:ilvl="0">
      <w:start w:val="1"/>
      <w:numFmt w:val="upp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upperLetter"/>
      <w:lvlText w:val="(%5)"/>
      <w:lvlJc w:val="left"/>
      <w:pPr>
        <w:ind w:left="1800" w:hanging="360"/>
      </w:pPr>
      <w:rPr>
        <w:rFonts w:hint="default"/>
        <w:b w:val="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35F066E"/>
    <w:multiLevelType w:val="hybridMultilevel"/>
    <w:tmpl w:val="78C6C8EC"/>
    <w:lvl w:ilvl="0" w:tplc="2F4A7C8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D9B3536"/>
    <w:multiLevelType w:val="hybridMultilevel"/>
    <w:tmpl w:val="AACA92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0" w15:restartNumberingAfterBreak="0">
    <w:nsid w:val="5AC5066A"/>
    <w:multiLevelType w:val="multilevel"/>
    <w:tmpl w:val="475E6D2A"/>
    <w:lvl w:ilvl="0">
      <w:start w:val="1"/>
      <w:numFmt w:val="decimal"/>
      <w:lvlText w:val="%1."/>
      <w:lvlJc w:val="left"/>
      <w:pPr>
        <w:ind w:left="720" w:hanging="360"/>
      </w:pPr>
    </w:lvl>
    <w:lvl w:ilvl="1">
      <w:start w:val="1"/>
      <w:numFmt w:val="decimal"/>
      <w:isLgl/>
      <w:lvlText w:val="%1.%2"/>
      <w:lvlJc w:val="left"/>
      <w:pPr>
        <w:ind w:left="785"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63893AA6"/>
    <w:multiLevelType w:val="hybridMultilevel"/>
    <w:tmpl w:val="68808A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2" w15:restartNumberingAfterBreak="0">
    <w:nsid w:val="66326875"/>
    <w:multiLevelType w:val="hybridMultilevel"/>
    <w:tmpl w:val="E3E0A532"/>
    <w:lvl w:ilvl="0" w:tplc="10090001">
      <w:start w:val="1"/>
      <w:numFmt w:val="bullet"/>
      <w:lvlText w:val=""/>
      <w:lvlJc w:val="left"/>
      <w:pPr>
        <w:ind w:left="1069" w:hanging="360"/>
      </w:pPr>
      <w:rPr>
        <w:rFonts w:ascii="Symbol" w:hAnsi="Symbol" w:hint="default"/>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13" w15:restartNumberingAfterBreak="0">
    <w:nsid w:val="75E069F1"/>
    <w:multiLevelType w:val="hybridMultilevel"/>
    <w:tmpl w:val="2F2AEB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2"/>
  </w:num>
  <w:num w:numId="4">
    <w:abstractNumId w:val="7"/>
  </w:num>
  <w:num w:numId="5">
    <w:abstractNumId w:val="1"/>
  </w:num>
  <w:num w:numId="6">
    <w:abstractNumId w:val="3"/>
  </w:num>
  <w:num w:numId="7">
    <w:abstractNumId w:val="4"/>
  </w:num>
  <w:num w:numId="8">
    <w:abstractNumId w:val="8"/>
  </w:num>
  <w:num w:numId="9">
    <w:abstractNumId w:val="0"/>
  </w:num>
  <w:num w:numId="10">
    <w:abstractNumId w:val="5"/>
  </w:num>
  <w:num w:numId="11">
    <w:abstractNumId w:val="11"/>
    <w:lvlOverride w:ilvl="0"/>
    <w:lvlOverride w:ilvl="1"/>
    <w:lvlOverride w:ilvl="2"/>
    <w:lvlOverride w:ilvl="3"/>
    <w:lvlOverride w:ilvl="4"/>
    <w:lvlOverride w:ilvl="5"/>
    <w:lvlOverride w:ilvl="6"/>
    <w:lvlOverride w:ilvl="7"/>
    <w:lvlOverride w:ilvl="8"/>
  </w:num>
  <w:num w:numId="12">
    <w:abstractNumId w:val="6"/>
    <w:lvlOverride w:ilvl="0"/>
    <w:lvlOverride w:ilvl="1"/>
    <w:lvlOverride w:ilvl="2"/>
    <w:lvlOverride w:ilvl="3"/>
    <w:lvlOverride w:ilvl="4"/>
    <w:lvlOverride w:ilvl="5"/>
    <w:lvlOverride w:ilvl="6"/>
    <w:lvlOverride w:ilvl="7"/>
    <w:lvlOverride w:ilvl="8"/>
  </w:num>
  <w:num w:numId="13">
    <w:abstractNumId w:val="13"/>
    <w:lvlOverride w:ilvl="0"/>
    <w:lvlOverride w:ilvl="1"/>
    <w:lvlOverride w:ilvl="2"/>
    <w:lvlOverride w:ilvl="3"/>
    <w:lvlOverride w:ilvl="4"/>
    <w:lvlOverride w:ilvl="5"/>
    <w:lvlOverride w:ilvl="6"/>
    <w:lvlOverride w:ilvl="7"/>
    <w:lvlOverride w:ilvl="8"/>
  </w:num>
  <w:num w:numId="14">
    <w:abstractNumId w:val="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6"/>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1A2"/>
    <w:rsid w:val="00023969"/>
    <w:rsid w:val="00081299"/>
    <w:rsid w:val="00092F1D"/>
    <w:rsid w:val="000A14CC"/>
    <w:rsid w:val="000C543A"/>
    <w:rsid w:val="000F03B7"/>
    <w:rsid w:val="0012165E"/>
    <w:rsid w:val="00142A30"/>
    <w:rsid w:val="00142F10"/>
    <w:rsid w:val="001549E9"/>
    <w:rsid w:val="001C4071"/>
    <w:rsid w:val="0021439B"/>
    <w:rsid w:val="002349A2"/>
    <w:rsid w:val="00250178"/>
    <w:rsid w:val="00287F97"/>
    <w:rsid w:val="0037166E"/>
    <w:rsid w:val="003C3B17"/>
    <w:rsid w:val="003F1EB2"/>
    <w:rsid w:val="004A4F9D"/>
    <w:rsid w:val="00547185"/>
    <w:rsid w:val="0055449C"/>
    <w:rsid w:val="006B45F6"/>
    <w:rsid w:val="00702742"/>
    <w:rsid w:val="007401F3"/>
    <w:rsid w:val="007821C4"/>
    <w:rsid w:val="008351A2"/>
    <w:rsid w:val="008978F4"/>
    <w:rsid w:val="009276B4"/>
    <w:rsid w:val="009C0389"/>
    <w:rsid w:val="00A00398"/>
    <w:rsid w:val="00AD2197"/>
    <w:rsid w:val="00B82444"/>
    <w:rsid w:val="00C1538C"/>
    <w:rsid w:val="00C17EB4"/>
    <w:rsid w:val="00C5271F"/>
    <w:rsid w:val="00C73B88"/>
    <w:rsid w:val="00CC5562"/>
    <w:rsid w:val="00CF4843"/>
    <w:rsid w:val="00D067D3"/>
    <w:rsid w:val="00D1682B"/>
    <w:rsid w:val="00D37CD1"/>
    <w:rsid w:val="00D46A0E"/>
    <w:rsid w:val="00D60D23"/>
    <w:rsid w:val="00F1312F"/>
    <w:rsid w:val="00F53EA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306780D"/>
  <w14:defaultImageDpi w14:val="300"/>
  <w15:docId w15:val="{919BB1AB-04BC-4F27-B94F-A1B5048EF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fr-CA"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51A2"/>
    <w:pPr>
      <w:tabs>
        <w:tab w:val="center" w:pos="4536"/>
        <w:tab w:val="right" w:pos="9072"/>
      </w:tabs>
    </w:pPr>
  </w:style>
  <w:style w:type="character" w:customStyle="1" w:styleId="HeaderChar">
    <w:name w:val="Header Char"/>
    <w:basedOn w:val="DefaultParagraphFont"/>
    <w:link w:val="Header"/>
    <w:uiPriority w:val="99"/>
    <w:rsid w:val="008351A2"/>
  </w:style>
  <w:style w:type="paragraph" w:styleId="Footer">
    <w:name w:val="footer"/>
    <w:basedOn w:val="Normal"/>
    <w:link w:val="FooterChar"/>
    <w:uiPriority w:val="99"/>
    <w:unhideWhenUsed/>
    <w:rsid w:val="008351A2"/>
    <w:pPr>
      <w:tabs>
        <w:tab w:val="center" w:pos="4536"/>
        <w:tab w:val="right" w:pos="9072"/>
      </w:tabs>
    </w:pPr>
  </w:style>
  <w:style w:type="character" w:customStyle="1" w:styleId="FooterChar">
    <w:name w:val="Footer Char"/>
    <w:basedOn w:val="DefaultParagraphFont"/>
    <w:link w:val="Footer"/>
    <w:uiPriority w:val="99"/>
    <w:rsid w:val="008351A2"/>
  </w:style>
  <w:style w:type="paragraph" w:styleId="BalloonText">
    <w:name w:val="Balloon Text"/>
    <w:basedOn w:val="Normal"/>
    <w:link w:val="BalloonTextChar"/>
    <w:uiPriority w:val="99"/>
    <w:semiHidden/>
    <w:unhideWhenUsed/>
    <w:rsid w:val="008351A2"/>
    <w:rPr>
      <w:rFonts w:ascii="Lucida Grande" w:hAnsi="Lucida Grande" w:cs="Lucida Grande"/>
      <w:sz w:val="18"/>
      <w:szCs w:val="18"/>
    </w:rPr>
  </w:style>
  <w:style w:type="character" w:customStyle="1" w:styleId="BalloonTextChar">
    <w:name w:val="Balloon Text Char"/>
    <w:link w:val="BalloonText"/>
    <w:uiPriority w:val="99"/>
    <w:semiHidden/>
    <w:rsid w:val="008351A2"/>
    <w:rPr>
      <w:rFonts w:ascii="Lucida Grande" w:hAnsi="Lucida Grande" w:cs="Lucida Grande"/>
      <w:sz w:val="18"/>
      <w:szCs w:val="18"/>
    </w:rPr>
  </w:style>
  <w:style w:type="character" w:styleId="Hyperlink">
    <w:name w:val="Hyperlink"/>
    <w:basedOn w:val="DefaultParagraphFont"/>
    <w:uiPriority w:val="99"/>
    <w:semiHidden/>
    <w:unhideWhenUsed/>
    <w:rsid w:val="009C0389"/>
    <w:rPr>
      <w:color w:val="0000FF" w:themeColor="hyperlink"/>
      <w:u w:val="single"/>
    </w:rPr>
  </w:style>
  <w:style w:type="paragraph" w:styleId="ListParagraph">
    <w:name w:val="List Paragraph"/>
    <w:basedOn w:val="Normal"/>
    <w:uiPriority w:val="34"/>
    <w:qFormat/>
    <w:rsid w:val="00D37CD1"/>
    <w:pPr>
      <w:ind w:left="720"/>
      <w:contextualSpacing/>
    </w:pPr>
    <w:rPr>
      <w:rFonts w:asciiTheme="minorHAnsi" w:eastAsiaTheme="minorHAnsi" w:hAnsiTheme="minorHAnsi" w:cstheme="minorBidi"/>
      <w:sz w:val="22"/>
      <w:szCs w:val="22"/>
      <w:lang w:val="en-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152756">
      <w:bodyDiv w:val="1"/>
      <w:marLeft w:val="0"/>
      <w:marRight w:val="0"/>
      <w:marTop w:val="0"/>
      <w:marBottom w:val="0"/>
      <w:divBdr>
        <w:top w:val="none" w:sz="0" w:space="0" w:color="auto"/>
        <w:left w:val="none" w:sz="0" w:space="0" w:color="auto"/>
        <w:bottom w:val="none" w:sz="0" w:space="0" w:color="auto"/>
        <w:right w:val="none" w:sz="0" w:space="0" w:color="auto"/>
      </w:divBdr>
    </w:div>
    <w:div w:id="8217001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8DF3A1-62CE-4F66-A861-0599C0C93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1072</Words>
  <Characters>6115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vouillon</dc:creator>
  <cp:keywords/>
  <dc:description/>
  <cp:lastModifiedBy>kwb</cp:lastModifiedBy>
  <cp:revision>2</cp:revision>
  <dcterms:created xsi:type="dcterms:W3CDTF">2015-12-03T21:45:00Z</dcterms:created>
  <dcterms:modified xsi:type="dcterms:W3CDTF">2015-12-03T21:45:00Z</dcterms:modified>
</cp:coreProperties>
</file>