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10 December 2021</w:t>
      </w:r>
    </w:p>
    <w:p>
      <w:pPr>
        <w:pStyle w:val="Normal"/>
        <w:rPr/>
      </w:pPr>
      <w:r>
        <w:rPr/>
      </w:r>
    </w:p>
    <w:p>
      <w:pPr>
        <w:pStyle w:val="Normal"/>
        <w:rPr/>
      </w:pPr>
      <w:r>
        <w:rPr/>
        <w:t>Mosha Cote</w:t>
      </w:r>
    </w:p>
    <w:p>
      <w:pPr>
        <w:pStyle w:val="Normal"/>
        <w:rPr/>
      </w:pPr>
      <w:r>
        <w:rPr/>
        <w:t>Research Liaison</w:t>
      </w:r>
    </w:p>
    <w:p>
      <w:pPr>
        <w:pStyle w:val="Normal"/>
        <w:rPr/>
      </w:pPr>
      <w:r>
        <w:drawing>
          <wp:anchor behindDoc="0" distT="0" distB="0" distL="0" distR="0" simplePos="0" locked="0" layoutInCell="1" allowOverlap="1" relativeHeight="2">
            <wp:simplePos x="0" y="0"/>
            <wp:positionH relativeFrom="column">
              <wp:align>right</wp:align>
            </wp:positionH>
            <wp:positionV relativeFrom="page">
              <wp:posOffset>457200</wp:posOffset>
            </wp:positionV>
            <wp:extent cx="1372235" cy="1372235"/>
            <wp:effectExtent l="0" t="0" r="0" b="0"/>
            <wp:wrapNone/>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372235" cy="1372235"/>
                    </a:xfrm>
                    <a:prstGeom prst="rect">
                      <a:avLst/>
                    </a:prstGeom>
                  </pic:spPr>
                </pic:pic>
              </a:graphicData>
            </a:graphic>
          </wp:anchor>
        </w:drawing>
      </w:r>
      <w:r>
        <w:rPr/>
        <w:t>N</w:t>
      </w:r>
      <w:r>
        <w:rPr/>
        <w:t>unavut Research Institute</w:t>
      </w:r>
    </w:p>
    <w:p>
      <w:pPr>
        <w:pStyle w:val="Normal"/>
        <w:rPr>
          <w:lang w:val="fr-CA"/>
        </w:rPr>
      </w:pPr>
      <w:r>
        <w:rPr>
          <w:lang w:val="fr-CA"/>
        </w:rPr>
        <w:t>Box 1720, Iqaluit, NU  X0A 0H0</w:t>
      </w:r>
    </w:p>
    <w:p>
      <w:pPr>
        <w:pStyle w:val="Normal"/>
        <w:rPr/>
      </w:pPr>
      <w:hyperlink r:id="rId3">
        <w:r>
          <w:rPr>
            <w:rStyle w:val="InternetLink"/>
            <w:i/>
            <w:lang w:val="fr-CA"/>
          </w:rPr>
          <w:t>mosha.cote@arcticcollege.ca</w:t>
        </w:r>
      </w:hyperlink>
    </w:p>
    <w:p>
      <w:pPr>
        <w:pStyle w:val="Normal"/>
        <w:rPr>
          <w:lang w:val="fr-CA"/>
        </w:rPr>
      </w:pPr>
      <w:r>
        <w:rPr>
          <w:lang w:val="fr-CA"/>
        </w:rPr>
      </w:r>
    </w:p>
    <w:p>
      <w:pPr>
        <w:pStyle w:val="Normal"/>
        <w:rPr/>
      </w:pPr>
      <w:r>
        <w:rPr>
          <w:b/>
        </w:rPr>
        <w:t>RE: Scientific Research License # 03 005 21R-M</w:t>
      </w:r>
    </w:p>
    <w:p>
      <w:pPr>
        <w:pStyle w:val="Normal"/>
        <w:rPr/>
      </w:pPr>
      <w:r>
        <w:rPr/>
      </w:r>
    </w:p>
    <w:p>
      <w:pPr>
        <w:pStyle w:val="Normal"/>
        <w:rPr/>
      </w:pPr>
      <w:r>
        <w:rPr/>
        <w:t>Dear Mr. Cote,</w:t>
      </w:r>
    </w:p>
    <w:p>
      <w:pPr>
        <w:pStyle w:val="Normal"/>
        <w:rPr/>
      </w:pPr>
      <w:r>
        <w:rPr/>
      </w:r>
    </w:p>
    <w:p>
      <w:pPr>
        <w:pStyle w:val="Normal"/>
        <w:rPr/>
      </w:pPr>
      <w:r>
        <w:rPr/>
        <w:t>Please accept this 2021 Annual Summary Report for the Nunavut Research Institute scientific research license # 03 005 21R-M. T</w:t>
      </w:r>
      <w:r>
        <w:rPr>
          <w:szCs w:val="24"/>
          <w:lang w:val="en-US"/>
        </w:rPr>
        <w:t xml:space="preserve">here are no changes to the objectives, study locations, or research methods associated with this research license. There is no </w:t>
      </w:r>
      <w:r>
        <w:rPr>
          <w:szCs w:val="24"/>
          <w:lang w:val="en-CA"/>
        </w:rPr>
        <w:t>new</w:t>
      </w:r>
      <w:r>
        <w:rPr/>
        <w:t xml:space="preserve"> field-based research activity planned as part of this license (instrument installation, sampling, etc.). However, we would like to request renewal of this license so that we can continue to collect and analyze multi-year permafrost data from the existing instrumentation </w:t>
      </w:r>
      <w:r>
        <w:rPr>
          <w:szCs w:val="24"/>
          <w:lang w:val="en-US"/>
        </w:rPr>
        <w:t>(ground temperature, air temperature, water temperature, moisture content, and ground heave)</w:t>
      </w:r>
      <w:r>
        <w:rPr/>
        <w:t>. Any visits to instrument sites will be conducted in</w:t>
      </w:r>
      <w:r>
        <w:rPr>
          <w:szCs w:val="24"/>
          <w:lang w:val="en-US"/>
        </w:rPr>
        <w:t xml:space="preserve"> strict accordance with evolving public health guidelines and directives issued by Nunavut, the Federal Government, and any applicable local authorities.</w:t>
      </w:r>
    </w:p>
    <w:p>
      <w:pPr>
        <w:pStyle w:val="Normal"/>
        <w:rPr>
          <w:szCs w:val="24"/>
          <w:lang w:val="en-US"/>
        </w:rPr>
      </w:pPr>
      <w:r>
        <w:rPr>
          <w:szCs w:val="24"/>
          <w:lang w:val="en-US"/>
        </w:rPr>
      </w:r>
    </w:p>
    <w:p>
      <w:pPr>
        <w:pStyle w:val="Normal"/>
        <w:rPr/>
      </w:pPr>
      <w:r>
        <w:rPr>
          <w:szCs w:val="24"/>
          <w:lang w:val="en-US"/>
        </w:rPr>
        <w:t>1) June</w:t>
      </w:r>
      <w:r>
        <w:rPr>
          <w:rFonts w:eastAsia="Times New Roman" w:cs="Times New Roman"/>
          <w:szCs w:val="24"/>
          <w:lang w:val="en-US"/>
        </w:rPr>
        <w:t>–</w:t>
      </w:r>
      <w:r>
        <w:rPr>
          <w:szCs w:val="24"/>
          <w:lang w:val="en-US"/>
        </w:rPr>
        <w:t>September 2022: 2 personnel (G. Oldenborger and A.-M. LeBlanc) from the Geological Survey of Canada, Ottawa for approximately 5 days for data retrieval from existing instrument sites in the Rankin Inlet area.</w:t>
      </w:r>
    </w:p>
    <w:p>
      <w:pPr>
        <w:pStyle w:val="Normal"/>
        <w:rPr>
          <w:szCs w:val="24"/>
          <w:lang w:val="en-US"/>
        </w:rPr>
      </w:pPr>
      <w:r>
        <w:rPr>
          <w:szCs w:val="24"/>
          <w:lang w:val="en-US"/>
        </w:rPr>
      </w:r>
    </w:p>
    <w:p>
      <w:pPr>
        <w:pStyle w:val="Normal"/>
        <w:rPr/>
      </w:pPr>
      <w:r>
        <w:rPr/>
        <w:t>Best Regards,</w:t>
      </w:r>
    </w:p>
    <w:p>
      <w:pPr>
        <w:pStyle w:val="Normal"/>
        <w:rPr/>
      </w:pPr>
      <w:r>
        <w:rPr/>
        <w:t>Greg Oldenborger</w:t>
      </w:r>
    </w:p>
    <w:p>
      <w:pPr>
        <w:pStyle w:val="Normal"/>
        <w:rPr/>
      </w:pPr>
      <w:r>
        <w:rPr/>
        <w:t>Geological Survey of Canada</w:t>
      </w:r>
    </w:p>
    <w:p>
      <w:pPr>
        <w:pStyle w:val="Normal"/>
        <w:rPr/>
      </w:pPr>
      <w:r>
        <w:rPr/>
        <w:t>Natural Resources Canada</w:t>
      </w:r>
    </w:p>
    <w:p>
      <w:pPr>
        <w:pStyle w:val="Normal"/>
        <w:rPr/>
      </w:pPr>
      <w:r>
        <w:rPr/>
        <w:t>183-601 Booth St., Ottawa, ON  K1A 0E8</w:t>
      </w:r>
    </w:p>
    <w:p>
      <w:pPr>
        <w:pStyle w:val="Normal"/>
        <w:rPr/>
      </w:pPr>
      <w:r>
        <w:rPr/>
        <w:t>Phone: 613-868-2474</w:t>
      </w:r>
    </w:p>
    <w:p>
      <w:pPr>
        <w:pStyle w:val="Normal"/>
        <w:rPr/>
      </w:pPr>
      <w:r>
        <w:rPr/>
        <w:t xml:space="preserve">Email: </w:t>
      </w:r>
      <w:hyperlink r:id="rId4">
        <w:r>
          <w:rPr>
            <w:rStyle w:val="InternetLink"/>
            <w:i/>
          </w:rPr>
          <w:t>greg.oldenborger@canada.ca</w:t>
        </w:r>
      </w:hyperlink>
    </w:p>
    <w:p>
      <w:pPr>
        <w:pStyle w:val="Normal"/>
        <w:rPr/>
      </w:pPr>
      <w:r>
        <w:rPr/>
      </w:r>
      <w:r>
        <w:br w:type="page"/>
      </w:r>
    </w:p>
    <w:p>
      <w:pPr>
        <w:pStyle w:val="Normal"/>
        <w:rPr/>
      </w:pPr>
      <w:r>
        <w:rPr>
          <w:b/>
        </w:rPr>
        <w:t>Nunavut Scientific Research License # 03 005 21R-M: 2021 Annual Summary</w:t>
      </w:r>
    </w:p>
    <w:p>
      <w:pPr>
        <w:pStyle w:val="Normal"/>
        <w:rPr/>
      </w:pPr>
      <w:r>
        <w:rPr/>
      </w:r>
    </w:p>
    <w:p>
      <w:pPr>
        <w:pStyle w:val="Normal"/>
        <w:rPr/>
      </w:pPr>
      <w:r>
        <w:rPr/>
        <w:t xml:space="preserve">The Kivalliq region of Nunavut is undergoing significant infrastructure development associated with natural resources, transportation, energy, and communication infrastructure. Information on permafrost is required to ensure resilience in the face of climate change. Measurements of ground temperature and observations of ground ice conditions are critical for permafrost characterization, but are sparse in the Kivalliq region of Nunavut. </w:t>
      </w:r>
    </w:p>
    <w:p>
      <w:pPr>
        <w:pStyle w:val="Normal"/>
        <w:rPr/>
      </w:pPr>
      <w:r>
        <w:rPr/>
      </w:r>
    </w:p>
    <w:p>
      <w:pPr>
        <w:pStyle w:val="Normal"/>
        <w:rPr/>
      </w:pPr>
      <w:r>
        <w:rPr/>
        <w:t>In the summer of 2016, the Geological Survey of Canada and the Canada-Nunavut Geoscience Office started a multi-year research study on permafrost for the western coast of Hudson Bay with focus on the Rankin Inlet area. Fieldwork has involved: 1) landscape observations and examination of surficial geological materials, 2) installation of permanent boreholes to record long-term permafrost temperatures in the Hamlet of Rankin Inlet for developed and undeveloped land use, 3) installation of several shallow permafrost monitoring stations in the vicinity of Rankin Inlet, 4) collection of permafrost cores and geophysical data to detect ground ice, 5) observations and measurements of water level changes, and 6) collection of satellite remote sensing data to monitor ground subsidence associated with thawing.</w:t>
      </w:r>
    </w:p>
    <w:p>
      <w:pPr>
        <w:pStyle w:val="Normal"/>
        <w:rPr/>
      </w:pPr>
      <w:r>
        <w:rPr/>
      </w:r>
    </w:p>
    <w:p>
      <w:pPr>
        <w:pStyle w:val="Normal"/>
        <w:rPr/>
      </w:pPr>
      <w:r>
        <w:rPr/>
        <w:t>For 2021, fieldwork was possible while adhering to travel requirements set forth by Nunavut and the Federal Government. A 6-day field visit to Rankin Inlet was conducted by Oldenborger and LeBlanc in September 2021 for data collection, instrument maintenance, and repair at existing sites. This visit was crucial to minimize data gaps in long-term records of ground temperature. Unfortunately, even though sites are equipped with automated data loggers, some data records were interrupted by disturbance, malfunction, or power loss. Most sites were successfully revived, while some were decommissioned. The effect of data gaps will be assessed in upcoming analyses. Using knowledge from previously-collected field data along with remote sensing data, studies were conducted to predict permafrost terrain types and permafrost degradation based on other environmental variables such as surficial geology, topography, and landcover. A list and online repository of reports and publications to date were submitted to the Nunavut Research Institute in response to a call for publications to be included in a review of the Nunavut Licensing Database.</w:t>
      </w:r>
    </w:p>
    <w:p>
      <w:pPr>
        <w:sectPr>
          <w:type w:val="nextPage"/>
          <w:pgSz w:w="12240" w:h="15840"/>
          <w:pgMar w:left="1440" w:right="1440" w:header="0" w:top="1440" w:footer="0" w:bottom="1440" w:gutter="0"/>
          <w:pgNumType w:fmt="decimal"/>
          <w:formProt w:val="false"/>
          <w:textDirection w:val="lrTb"/>
          <w:docGrid w:type="default" w:linePitch="360" w:charSpace="0"/>
        </w:sectPr>
        <w:pStyle w:val="Normal"/>
        <w:rPr/>
      </w:pPr>
      <w:r>
        <w:rPr/>
      </w:r>
    </w:p>
    <w:p>
      <w:pPr>
        <w:pStyle w:val="Normal"/>
        <w:rPr/>
      </w:pPr>
      <w:r>
        <w:rPr>
          <w:b/>
        </w:rPr>
        <w:t>Publications associated with NRI Scientific Research License 03 005 21R-M</w:t>
      </w:r>
    </w:p>
    <w:p>
      <w:pPr>
        <w:pStyle w:val="Normal"/>
        <w:rPr/>
      </w:pPr>
      <w:r>
        <w:rPr/>
        <w:t>Published as of 2021/12/10</w:t>
      </w:r>
    </w:p>
    <w:p>
      <w:pPr>
        <w:pStyle w:val="Normal"/>
        <w:rPr/>
      </w:pPr>
      <w:r>
        <w:rPr/>
      </w:r>
    </w:p>
    <w:p>
      <w:pPr>
        <w:pStyle w:val="Normal"/>
        <w:rPr/>
      </w:pPr>
      <w:r>
        <w:rPr>
          <w:b/>
        </w:rPr>
        <w:t>Scientific Journal Papers</w:t>
      </w:r>
    </w:p>
    <w:p>
      <w:pPr>
        <w:pStyle w:val="Normal"/>
        <w:rPr/>
      </w:pPr>
      <w:r>
        <w:rPr/>
      </w:r>
    </w:p>
    <w:p>
      <w:pPr>
        <w:pStyle w:val="Normal"/>
        <w:rPr/>
      </w:pPr>
      <w:r>
        <w:rPr/>
        <w:t xml:space="preserve">Oldenborger G.A., Short N., LeBlanc A.-M., 2020. Electrical conductivity and DInSAR ground displacement in permafrost terrain. Journal of Applied Geophysics 181, 104148. </w:t>
      </w:r>
      <w:hyperlink r:id="rId5" w:tgtFrame="_blank">
        <w:r>
          <w:rPr>
            <w:rStyle w:val="InternetLink"/>
          </w:rPr>
          <w:t>https://doi.org/10.1016/j.jappgeo.2020.104148</w:t>
        </w:r>
      </w:hyperlink>
      <w:r>
        <w:rPr/>
        <w:t xml:space="preserve"> </w:t>
      </w:r>
    </w:p>
    <w:p>
      <w:pPr>
        <w:pStyle w:val="Normal"/>
        <w:rPr/>
      </w:pPr>
      <w:r>
        <w:rPr/>
      </w:r>
    </w:p>
    <w:p>
      <w:pPr>
        <w:pStyle w:val="Normal"/>
        <w:rPr/>
      </w:pPr>
      <w:r>
        <w:rPr/>
        <w:t xml:space="preserve">Oldenborger G.A., 2021. Subzero temperature dependence of electrical conductivity for permafrost geophysics. Cold Regions Science and Technology 182, 103214. </w:t>
      </w:r>
      <w:hyperlink r:id="rId6" w:tgtFrame="_blank">
        <w:r>
          <w:rPr>
            <w:rStyle w:val="InternetLink"/>
          </w:rPr>
          <w:t>https://doi.org/10.1016/j.coldregions.2020.103214</w:t>
        </w:r>
      </w:hyperlink>
      <w:r>
        <w:rPr/>
        <w:t xml:space="preserve"> </w:t>
      </w:r>
    </w:p>
    <w:p>
      <w:pPr>
        <w:pStyle w:val="Normal"/>
        <w:rPr/>
      </w:pPr>
      <w:r>
        <w:rPr/>
      </w:r>
    </w:p>
    <w:p>
      <w:pPr>
        <w:pStyle w:val="Normal"/>
        <w:rPr/>
      </w:pPr>
      <w:r>
        <w:rPr>
          <w:b/>
        </w:rPr>
        <w:t>Departmental Reports</w:t>
      </w:r>
    </w:p>
    <w:p>
      <w:pPr>
        <w:pStyle w:val="Normal"/>
        <w:rPr/>
      </w:pPr>
      <w:r>
        <w:rPr/>
      </w:r>
    </w:p>
    <w:p>
      <w:pPr>
        <w:pStyle w:val="Normal"/>
        <w:rPr/>
      </w:pPr>
      <w:r>
        <w:rPr/>
        <w:t xml:space="preserve">Oldenborger G.A., LeBlanc A.-M., Bellehumeur-Génier O., Grosset C., Holzman S., Masson C., 2016. Community workshop on permafrost and landscape change, Rankin Inlet, Nunavut. Geological Survey of Canada, Open File 8057. </w:t>
      </w:r>
      <w:hyperlink r:id="rId7">
        <w:r>
          <w:rPr>
            <w:rStyle w:val="InternetLink"/>
          </w:rPr>
          <w:t>https://doi.org/10.4095/298806</w:t>
        </w:r>
      </w:hyperlink>
    </w:p>
    <w:p>
      <w:pPr>
        <w:pStyle w:val="Normal"/>
        <w:rPr/>
      </w:pPr>
      <w:r>
        <w:rPr/>
      </w:r>
    </w:p>
    <w:p>
      <w:pPr>
        <w:pStyle w:val="Normal"/>
        <w:rPr/>
      </w:pPr>
      <w:bookmarkStart w:id="0" w:name="__DdeLink__7951_3163829681"/>
      <w:bookmarkEnd w:id="0"/>
      <w:r>
        <w:rPr/>
        <w:t xml:space="preserve">Short N., LeBlanc A.-M., Bellehumeur-Génier O., 2016. Seasonal surface displacement derived from DInSAR, Rankin Inlet, Nunavut. Geological Survey of Canada, Canadian Geoscience Map 291. </w:t>
      </w:r>
      <w:hyperlink r:id="rId8">
        <w:r>
          <w:rPr>
            <w:rStyle w:val="InternetLink"/>
          </w:rPr>
          <w:t>https://doi.org/10.4095/298815</w:t>
        </w:r>
      </w:hyperlink>
    </w:p>
    <w:p>
      <w:pPr>
        <w:pStyle w:val="Normal"/>
        <w:rPr/>
      </w:pPr>
      <w:r>
        <w:rPr/>
      </w:r>
      <w:bookmarkStart w:id="1" w:name="__DdeLink__7951_31638296811"/>
      <w:bookmarkStart w:id="2" w:name="__DdeLink__7951_31638296811"/>
      <w:bookmarkEnd w:id="2"/>
    </w:p>
    <w:p>
      <w:pPr>
        <w:pStyle w:val="Normal"/>
        <w:rPr/>
      </w:pPr>
      <w:r>
        <w:rPr/>
        <w:t xml:space="preserve">Bellehumeur-Génier O., Oldenborger G.A., LeBlanc A.-M., 2017. Historical fluctuations of lake shorelines based on geomorphological analysis in the vicinity of Rankin Inlet, Nunavut. Geological Survey of Canada, Open File 8224. </w:t>
      </w:r>
      <w:hyperlink r:id="rId9">
        <w:r>
          <w:rPr>
            <w:rStyle w:val="InternetLink"/>
          </w:rPr>
          <w:t>https://doi.org/10.4095/328869</w:t>
        </w:r>
      </w:hyperlink>
    </w:p>
    <w:p>
      <w:pPr>
        <w:pStyle w:val="Normal"/>
        <w:rPr/>
      </w:pPr>
      <w:r>
        <w:rPr/>
      </w:r>
    </w:p>
    <w:p>
      <w:pPr>
        <w:pStyle w:val="Normal"/>
        <w:rPr/>
      </w:pPr>
      <w:r>
        <w:rPr/>
        <w:t xml:space="preserve">Oldenborger G.A., Bellehumeur-Génier O., LeBlanc A.-M., Tremblay T. 2018. Performance analysis of RapidEye multi-spectral land cover mapping for the western coast of Hudson Bay, Nunavut. Geological Survey of Canada, Open File 8380. </w:t>
      </w:r>
      <w:hyperlink r:id="rId10">
        <w:r>
          <w:rPr>
            <w:rStyle w:val="InternetLink"/>
          </w:rPr>
          <w:t>https://doi.org/10.4095/311216</w:t>
        </w:r>
      </w:hyperlink>
    </w:p>
    <w:p>
      <w:pPr>
        <w:pStyle w:val="Normal"/>
        <w:rPr/>
      </w:pPr>
      <w:r>
        <w:rPr/>
      </w:r>
    </w:p>
    <w:p>
      <w:pPr>
        <w:pStyle w:val="Normal"/>
        <w:rPr/>
      </w:pPr>
      <w:r>
        <w:rPr/>
        <w:t xml:space="preserve">Oldenborger G.A., Faucher B., LeBlanc A.-M., 2021. Multi-spectral permafrost terrain classification, Rankin Inlet, Nunavut. Geological Survey of Canada, Open File 8824. </w:t>
      </w:r>
      <w:hyperlink r:id="rId11">
        <w:r>
          <w:rPr>
            <w:rStyle w:val="InternetLink"/>
          </w:rPr>
          <w:t>https://doi.org/10.4095/328869</w:t>
        </w:r>
      </w:hyperlink>
    </w:p>
    <w:p>
      <w:pPr>
        <w:pStyle w:val="Normal"/>
        <w:rPr/>
      </w:pPr>
      <w:r>
        <w:rPr/>
      </w:r>
    </w:p>
    <w:p>
      <w:pPr>
        <w:pStyle w:val="Normal"/>
        <w:rPr/>
      </w:pPr>
      <w:r>
        <w:rPr>
          <w:b/>
        </w:rPr>
        <w:t>Special Publications</w:t>
      </w:r>
    </w:p>
    <w:p>
      <w:pPr>
        <w:pStyle w:val="Normal"/>
        <w:rPr/>
      </w:pPr>
      <w:r>
        <w:rPr/>
      </w:r>
    </w:p>
    <w:p>
      <w:pPr>
        <w:pStyle w:val="Normal"/>
        <w:rPr/>
      </w:pPr>
      <w:r>
        <w:rPr/>
        <w:t xml:space="preserve">Tremblay T., Kendall M.S., LeBlanc A.M., Short N., Bellehumeur-Génier O., Oldenborger G.A., Budkewitsch P., Mate D.J., 2015. Overview of the surficial geology map compilation, RapidEye land-cover mapping and permafrost studies for infrastructure in the western Hudson Bay area, Nunavut. Canada-Nunavut Geoscience Office, Summary of Activities 2015, 145–160. </w:t>
      </w:r>
      <w:hyperlink r:id="rId12">
        <w:r>
          <w:rPr>
            <w:rStyle w:val="InternetLink"/>
          </w:rPr>
          <w:t>https://cngo.ca/summary-of-activities/2015/</w:t>
        </w:r>
      </w:hyperlink>
    </w:p>
    <w:p>
      <w:pPr>
        <w:pStyle w:val="Normal"/>
        <w:rPr/>
      </w:pPr>
      <w:r>
        <w:rPr/>
      </w:r>
    </w:p>
    <w:p>
      <w:pPr>
        <w:pStyle w:val="Normal"/>
        <w:rPr/>
      </w:pPr>
      <w:r>
        <w:rPr/>
        <w:t xml:space="preserve">LeBlanc A.-M., Bellehumeur-Génier O., Oldenborger G.A., Tremblay T., 2016. Understanding permafrost conditions through integration of local and traditional observations with geoscience data in the region of Rankin Inlet, Nunavut. Canada-Nunavut Geoscience Office, Summary of Activities 2016, 75–88. </w:t>
      </w:r>
      <w:hyperlink r:id="rId13">
        <w:r>
          <w:rPr>
            <w:rStyle w:val="InternetLink"/>
          </w:rPr>
          <w:t>https://cngo.ca/summary-of-activities/2016/</w:t>
        </w:r>
      </w:hyperlink>
    </w:p>
    <w:p>
      <w:pPr>
        <w:pStyle w:val="Normal"/>
        <w:rPr/>
      </w:pPr>
      <w:r>
        <w:rPr/>
      </w:r>
    </w:p>
    <w:p>
      <w:pPr>
        <w:pStyle w:val="Normal"/>
        <w:rPr/>
      </w:pPr>
      <w:r>
        <w:rPr/>
        <w:t xml:space="preserve">Oldenborger G.A., Bellehumeur-Génier O., Tremblay T., Calmels F., LeBlanc A.-M., 2016. Permafrost studies in the Rankin Inlet and Ennadai Lake areas, southern Nunavut. Canada-Nunavut Geoscience Office, Summary of Activities 2016, 67–74. </w:t>
      </w:r>
      <w:hyperlink r:id="rId14">
        <w:r>
          <w:rPr>
            <w:rStyle w:val="InternetLink"/>
          </w:rPr>
          <w:t>https://cngo.ca/summary-of-activities/2016/</w:t>
        </w:r>
      </w:hyperlink>
    </w:p>
    <w:p>
      <w:pPr>
        <w:pStyle w:val="Normal"/>
        <w:rPr/>
      </w:pPr>
      <w:r>
        <w:rPr/>
      </w:r>
    </w:p>
    <w:p>
      <w:pPr>
        <w:pStyle w:val="Normal"/>
        <w:rPr/>
      </w:pPr>
      <w:r>
        <w:rPr/>
        <w:t xml:space="preserve">Oldenborger G.A., Bellehumeur-Génier O., Tremblay T., LeBlanc A.-M., 2017. Ground temperatures and permafrost conditions, Rankin Inlet, Nunavut. Canada-Nunavut Geoscience Office, Summary of Activities 2017, 117–128. </w:t>
      </w:r>
      <w:hyperlink r:id="rId15">
        <w:r>
          <w:rPr>
            <w:rStyle w:val="InternetLink"/>
          </w:rPr>
          <w:t>https://cngo.ca/summary-of-activities/2017/</w:t>
        </w:r>
      </w:hyperlink>
    </w:p>
    <w:p>
      <w:pPr>
        <w:pStyle w:val="Normal"/>
        <w:rPr/>
      </w:pPr>
      <w:r>
        <w:rPr/>
      </w:r>
    </w:p>
    <w:p>
      <w:pPr>
        <w:pStyle w:val="Normal"/>
        <w:rPr/>
      </w:pPr>
      <w:r>
        <w:rPr/>
        <w:t xml:space="preserve">Oldenborger G.A., Bellehumeur-Génier O., LeBlanc A.-M., 2018. Performance of a consumer-grade unmanned aerial vehicle for acquisition of imagery and creation of digital elevation models and ground displacement maps in permafrost terrain, Rankin Inlet area, southern Nunavut. Canada-Nunavut Geoscience Office, Summary of Activities 2018, 153–166. </w:t>
      </w:r>
      <w:hyperlink r:id="rId16">
        <w:r>
          <w:rPr>
            <w:rStyle w:val="InternetLink"/>
          </w:rPr>
          <w:t>https://cngo.ca/summary-of-activities/2018/</w:t>
        </w:r>
      </w:hyperlink>
    </w:p>
    <w:p>
      <w:pPr>
        <w:pStyle w:val="Normal"/>
        <w:rPr/>
      </w:pPr>
      <w:r>
        <w:rPr/>
      </w:r>
    </w:p>
    <w:p>
      <w:pPr>
        <w:pStyle w:val="Normal"/>
        <w:rPr/>
      </w:pPr>
      <w:r>
        <w:rPr/>
        <w:t xml:space="preserve">LeBlanc A.-M., Bellehumeur-Génier O., Oldenborger G.A., Short N., 2020. Lake area and shoreline changes due to climate and permafrost-related drivers, Rankin Inlet area, Nunavut. Canada-Nunavut Geoscience Office, Summary of Activities 2019, 79–92. </w:t>
      </w:r>
      <w:hyperlink r:id="rId17">
        <w:r>
          <w:rPr>
            <w:rStyle w:val="InternetLink"/>
          </w:rPr>
          <w:t>https://cngo.ca/summary-of-activities/2019/</w:t>
        </w:r>
      </w:hyperlink>
    </w:p>
    <w:p>
      <w:pPr>
        <w:pStyle w:val="Normal"/>
        <w:rPr/>
      </w:pPr>
      <w:r>
        <w:rPr/>
      </w:r>
    </w:p>
    <w:p>
      <w:pPr>
        <w:pStyle w:val="Normal"/>
        <w:rPr/>
      </w:pPr>
      <w:r>
        <w:rPr/>
        <w:t xml:space="preserve">LeBlanc A.-M., Oldenborger G.A., 2021. Ground temperature, active layer thickness and ground ice conditions in the vicinity of Rankin Inlet, Nunavut. Canada-Nunavut Geoscience Office, Summary of Activities 2020, 63–72. </w:t>
      </w:r>
      <w:hyperlink r:id="rId18">
        <w:r>
          <w:rPr>
            <w:rStyle w:val="InternetLink"/>
          </w:rPr>
          <w:t>https://cngo.ca/summary-of-activities/2020/</w:t>
        </w:r>
      </w:hyperlink>
    </w:p>
    <w:p>
      <w:pPr>
        <w:pStyle w:val="Normal"/>
        <w:rPr/>
      </w:pPr>
      <w:r>
        <w:rPr/>
      </w:r>
    </w:p>
    <w:p>
      <w:pPr>
        <w:pStyle w:val="Normal"/>
        <w:rPr/>
      </w:pPr>
      <w:r>
        <w:rPr>
          <w:b/>
        </w:rPr>
        <w:t>Conference Proceedings</w:t>
      </w:r>
    </w:p>
    <w:p>
      <w:pPr>
        <w:pStyle w:val="Normal"/>
        <w:rPr/>
      </w:pPr>
      <w:r>
        <w:rPr/>
      </w:r>
    </w:p>
    <w:p>
      <w:pPr>
        <w:pStyle w:val="Normal"/>
        <w:rPr/>
      </w:pPr>
      <w:r>
        <w:rPr/>
        <w:t>LeBlanc A.-M., Oldenborger G.A., Bellehumeur-Génier O., 2017. Local and traditional knowledge in conjunction with geoscience data to understand permafrost conditions and guide research activities, Rankin Inlet, Nunavut. ArcticNet Annual Scientific Meeting, Quebec, QC, 285–286.</w:t>
      </w:r>
    </w:p>
    <w:p>
      <w:pPr>
        <w:pStyle w:val="Normal"/>
        <w:rPr/>
      </w:pPr>
      <w:r>
        <w:rPr/>
      </w:r>
    </w:p>
    <w:p>
      <w:pPr>
        <w:pStyle w:val="Normal"/>
        <w:rPr/>
      </w:pPr>
      <w:r>
        <w:rPr/>
        <w:t>Tremblay T., Oldenborger G.A., Bellehumeur-Génier O., Short N., Leblanc A.</w:t>
        <w:noBreakHyphen/>
        <w:t>M., 2017. Surficial sediments, land cover mapping and permafrost characteristics in the Western Hudson Bay area, Nunavut. Yellowknife Geoscience Forum, Yellowknife, NWT, 115.</w:t>
      </w:r>
    </w:p>
    <w:p>
      <w:pPr>
        <w:pStyle w:val="Normal"/>
        <w:rPr/>
      </w:pPr>
      <w:r>
        <w:rPr/>
      </w:r>
    </w:p>
    <w:p>
      <w:pPr>
        <w:pStyle w:val="Normal"/>
        <w:rPr/>
      </w:pPr>
      <w:r>
        <w:rPr/>
        <w:t xml:space="preserve">Oldenborger G.A., Short N., LeBlanc A.-M., 2018. Comparison of apparent conductivity to ground displacement and surficial geology for continuous permafrost. European Meeting of Environmental and Engineering Geophysics, Porto, Portugal, Tu 24A 04. </w:t>
      </w:r>
      <w:hyperlink r:id="rId19">
        <w:r>
          <w:rPr>
            <w:rStyle w:val="InternetLink"/>
          </w:rPr>
          <w:t>https://doi.org/10.3997/2214-4609.201802515</w:t>
        </w:r>
      </w:hyperlink>
      <w:r>
        <w:rPr/>
        <w:t xml:space="preserve"> </w:t>
      </w:r>
    </w:p>
    <w:p>
      <w:pPr>
        <w:pStyle w:val="Normal"/>
        <w:rPr/>
      </w:pPr>
      <w:r>
        <w:rPr/>
      </w:r>
    </w:p>
    <w:p>
      <w:pPr>
        <w:pStyle w:val="Normal"/>
        <w:rPr/>
      </w:pPr>
      <w:r>
        <w:rPr/>
        <w:t>LeBlanc A.-M., Bellehumeur-Génier O., Oldenborger G.A., 2018. Lake shoreline evolution and permafrost-related drivers, Rankin Inlet, Nunavut. ArcticNet Annual Scientific Meeting, Ottawa, ON.</w:t>
      </w:r>
    </w:p>
    <w:p>
      <w:pPr>
        <w:pStyle w:val="Normal"/>
        <w:rPr/>
      </w:pPr>
      <w:r>
        <w:rPr/>
      </w:r>
    </w:p>
    <w:p>
      <w:pPr>
        <w:pStyle w:val="Normal"/>
        <w:rPr/>
      </w:pPr>
      <w:r>
        <w:rPr/>
        <w:t xml:space="preserve">LeBlanc A.-M., Oldenborger G., Short N., 2019. Comparison between seasonal and inter-annual ground surface displacements based on surficial geology to assess permafrost conditions, Rankin Inlet, Nunavut. Canadian Permafrost Conference, Québec, QC. </w:t>
      </w:r>
      <w:hyperlink r:id="rId20">
        <w:r>
          <w:rPr>
            <w:rStyle w:val="InternetLink"/>
          </w:rPr>
          <w:t>https://doi.org/10.1061/9780784482599.071</w:t>
        </w:r>
      </w:hyperlink>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s>
</file>

<file path=word/settings.xml><?xml version="1.0" encoding="utf-8"?>
<w:settings xmlns:w="http://schemas.openxmlformats.org/wordprocessingml/2006/main">
  <w:zoom w:percent="120"/>
  <w:defaultTabStop w:val="720"/>
  <w:compat>
    <w:compatSetting w:name="compatibilityMode" w:uri="http://schemas.microsoft.com/office/word" w:val="11"/>
  </w:compat>
  <w:themeFontLang w:val="en-C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lang w:val="en-CA" w:eastAsia="en-CA" w:bidi="ar-SA"/>
      </w:rPr>
    </w:rPrDefault>
    <w:pPrDefault>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f6dbd"/>
    <w:pPr>
      <w:widowControl/>
      <w:bidi w:val="0"/>
      <w:jc w:val="left"/>
    </w:pPr>
    <w:rPr>
      <w:rFonts w:ascii="Times New Roman" w:hAnsi="Times New Roman" w:eastAsia="Calibri" w:cs="Times New Roman"/>
      <w:color w:val="auto"/>
      <w:kern w:val="0"/>
      <w:sz w:val="24"/>
      <w:szCs w:val="22"/>
      <w:lang w:val="en-CA" w:eastAsia="en-US" w:bidi="ar-SA"/>
    </w:rPr>
  </w:style>
  <w:style w:type="character" w:styleId="DefaultParagraphFont" w:default="1">
    <w:name w:val="Default Paragraph Font"/>
    <w:uiPriority w:val="1"/>
    <w:semiHidden/>
    <w:unhideWhenUsed/>
    <w:qFormat/>
    <w:rPr/>
  </w:style>
  <w:style w:type="character" w:styleId="InternetLink">
    <w:name w:val="Internet Link"/>
    <w:uiPriority w:val="99"/>
    <w:rsid w:val="00381cd2"/>
    <w:rPr>
      <w:rFonts w:cs="Times New Roman"/>
      <w:color w:val="0000FF"/>
      <w:u w:val="single"/>
    </w:rPr>
  </w:style>
  <w:style w:type="character" w:styleId="FollowedHyperlink">
    <w:name w:val="FollowedHyperlink"/>
    <w:uiPriority w:val="99"/>
    <w:qFormat/>
    <w:rsid w:val="007f0d7c"/>
    <w:rPr>
      <w:rFonts w:cs="Times New Roman"/>
      <w:color w:val="800080"/>
      <w:u w:val="single"/>
    </w:rPr>
  </w:style>
  <w:style w:type="character" w:styleId="ListLabel1">
    <w:name w:val="ListLabel 1"/>
    <w:qFormat/>
    <w:rPr>
      <w:i/>
      <w:lang w:val="fr-CA"/>
    </w:rPr>
  </w:style>
  <w:style w:type="character" w:styleId="ListLabel2">
    <w:name w:val="ListLabel 2"/>
    <w:qFormat/>
    <w:rPr>
      <w:i/>
    </w:rPr>
  </w:style>
  <w:style w:type="character" w:styleId="ListLabel3">
    <w:name w:val="ListLabel 3"/>
    <w:qFormat/>
    <w:rPr/>
  </w:style>
  <w:style w:type="character" w:styleId="ListLabel4">
    <w:name w:val="ListLabel 4"/>
    <w:qFormat/>
    <w:rPr>
      <w:i/>
      <w:lang w:val="fr-CA"/>
    </w:rPr>
  </w:style>
  <w:style w:type="character" w:styleId="ListLabel5">
    <w:name w:val="ListLabel 5"/>
    <w:qFormat/>
    <w:rPr>
      <w:i/>
    </w:rPr>
  </w:style>
  <w:style w:type="character" w:styleId="ListLabel6">
    <w:name w:val="ListLabel 6"/>
    <w:qFormat/>
    <w:rPr/>
  </w:style>
  <w:style w:type="character" w:styleId="ListLabel7">
    <w:name w:val="ListLabel 7"/>
    <w:qFormat/>
    <w:rPr>
      <w:i/>
      <w:lang w:val="fr-CA"/>
    </w:rPr>
  </w:style>
  <w:style w:type="character" w:styleId="ListLabel8">
    <w:name w:val="ListLabel 8"/>
    <w:qFormat/>
    <w:rPr>
      <w:i/>
    </w:rPr>
  </w:style>
  <w:style w:type="character" w:styleId="ListLabel9">
    <w:name w:val="ListLabel 9"/>
    <w:qFormat/>
    <w:rPr/>
  </w:style>
  <w:style w:type="character" w:styleId="ListLabel10">
    <w:name w:val="ListLabel 10"/>
    <w:qFormat/>
    <w:rPr>
      <w:i/>
      <w:lang w:val="fr-CA"/>
    </w:rPr>
  </w:style>
  <w:style w:type="character" w:styleId="ListLabel11">
    <w:name w:val="ListLabel 11"/>
    <w:qFormat/>
    <w:rPr>
      <w:i/>
    </w:rPr>
  </w:style>
  <w:style w:type="character" w:styleId="ListLabel12">
    <w:name w:val="ListLabel 12"/>
    <w:qFormat/>
    <w:rPr>
      <w:i/>
      <w:lang w:val="fr-CA"/>
    </w:rPr>
  </w:style>
  <w:style w:type="character" w:styleId="ListLabel13">
    <w:name w:val="ListLabel 13"/>
    <w:qFormat/>
    <w:rPr>
      <w:i/>
    </w:rPr>
  </w:style>
  <w:style w:type="character" w:styleId="ListLabel14">
    <w:name w:val="ListLabel 14"/>
    <w:qFormat/>
    <w:rPr/>
  </w:style>
  <w:style w:type="paragraph" w:styleId="Heading">
    <w:name w:val="Heading"/>
    <w:basedOn w:val="Normal"/>
    <w:next w:val="TextBody"/>
    <w:qFormat/>
    <w:pPr>
      <w:keepNext w:val="true"/>
      <w:spacing w:before="240" w:after="120"/>
    </w:pPr>
    <w:rPr>
      <w:rFonts w:ascii="Times New Roman" w:hAnsi="Times New Roman"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rPr>
  </w:style>
  <w:style w:type="paragraph" w:styleId="Body" w:customStyle="1">
    <w:name w:val="Body"/>
    <w:uiPriority w:val="99"/>
    <w:qFormat/>
    <w:rsid w:val="005c2744"/>
    <w:pPr>
      <w:widowControl/>
      <w:bidi w:val="0"/>
      <w:jc w:val="left"/>
    </w:pPr>
    <w:rPr>
      <w:rFonts w:ascii="Times New Roman" w:hAnsi="Times New Roman" w:eastAsia="Calibri" w:cs="Arial Unicode MS"/>
      <w:color w:val="000000"/>
      <w:kern w:val="0"/>
      <w:sz w:val="24"/>
      <w:szCs w:val="24"/>
      <w:u w:val="none" w:color="000000"/>
      <w:lang w:val="en-CA" w:eastAsia="en-CA"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mosha.cote@arcticcollege.ca" TargetMode="External"/><Relationship Id="rId4" Type="http://schemas.openxmlformats.org/officeDocument/2006/relationships/hyperlink" Target="mailto:greg.oldenborger@canada.ca" TargetMode="External"/><Relationship Id="rId5" Type="http://schemas.openxmlformats.org/officeDocument/2006/relationships/hyperlink" Target="https://doi.org/10.1016/j.jappgeo.2020.104148" TargetMode="External"/><Relationship Id="rId6" Type="http://schemas.openxmlformats.org/officeDocument/2006/relationships/hyperlink" Target="https://doi.org/10.1016/j.coldregions.2020.103214" TargetMode="External"/><Relationship Id="rId7" Type="http://schemas.openxmlformats.org/officeDocument/2006/relationships/hyperlink" Target="https://doi.org/10.4095/298806" TargetMode="External"/><Relationship Id="rId8" Type="http://schemas.openxmlformats.org/officeDocument/2006/relationships/hyperlink" Target="https://doi.org/10.4095/298815" TargetMode="External"/><Relationship Id="rId9" Type="http://schemas.openxmlformats.org/officeDocument/2006/relationships/hyperlink" Target="https://doi.org/10.4095/328869" TargetMode="External"/><Relationship Id="rId10" Type="http://schemas.openxmlformats.org/officeDocument/2006/relationships/hyperlink" Target="https://doi.org/10.4095/311216" TargetMode="External"/><Relationship Id="rId11" Type="http://schemas.openxmlformats.org/officeDocument/2006/relationships/hyperlink" Target="https://doi.org/10.4095/328869" TargetMode="External"/><Relationship Id="rId12" Type="http://schemas.openxmlformats.org/officeDocument/2006/relationships/hyperlink" Target="https://cngo.ca/summary-of-activities/2015/" TargetMode="External"/><Relationship Id="rId13" Type="http://schemas.openxmlformats.org/officeDocument/2006/relationships/hyperlink" Target="https://cngo.ca/summary-of-activities/2016/" TargetMode="External"/><Relationship Id="rId14" Type="http://schemas.openxmlformats.org/officeDocument/2006/relationships/hyperlink" Target="https://cngo.ca/summary-of-activities/2016/" TargetMode="External"/><Relationship Id="rId15" Type="http://schemas.openxmlformats.org/officeDocument/2006/relationships/hyperlink" Target="https://cngo.ca/summary-of-activities/2017/" TargetMode="External"/><Relationship Id="rId16" Type="http://schemas.openxmlformats.org/officeDocument/2006/relationships/hyperlink" Target="https://cngo.ca/summary-of-activities/2018/" TargetMode="External"/><Relationship Id="rId17" Type="http://schemas.openxmlformats.org/officeDocument/2006/relationships/hyperlink" Target="https://cngo.ca/summary-of-activities/2019/" TargetMode="External"/><Relationship Id="rId18" Type="http://schemas.openxmlformats.org/officeDocument/2006/relationships/hyperlink" Target="https://cngo.ca/summary-of-activities/2020/" TargetMode="External"/><Relationship Id="rId19" Type="http://schemas.openxmlformats.org/officeDocument/2006/relationships/hyperlink" Target="https://doi.org/10.3997/2214-4609.201802515" TargetMode="External"/><Relationship Id="rId20" Type="http://schemas.openxmlformats.org/officeDocument/2006/relationships/hyperlink" Target="https://doi.org/10.1061/9780784482599.071" TargetMode="Externa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765</TotalTime>
  <Application>LibreOffice/6.1.6.3$Windows_X86_64 LibreOffice_project/5896ab1714085361c45cf540f76f60673dd96a72</Application>
  <Pages>5</Pages>
  <Words>1180</Words>
  <Characters>8045</Characters>
  <CharactersWithSpaces>9176</CharactersWithSpaces>
  <Paragraphs>46</Paragraphs>
  <Company>NRCan / RNCan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2016-10-24T17:03:00Z</dcterms:created>
  <dc:creator>Greg A. Oldenborger</dc:creator>
  <dc:description/>
  <dc:language>en-CA</dc:language>
  <cp:lastModifiedBy>G. A. Oldenborger</cp:lastModifiedBy>
  <dcterms:modified xsi:type="dcterms:W3CDTF">2021-12-10T15:23:36Z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NRCan / RNCan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