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b4e9fe11c064fb2" /></Relationships>
</file>

<file path=word/document.xml><?xml version="1.0" encoding="utf-8"?>
<w:document xmlns:w="http://schemas.openxmlformats.org/wordprocessingml/2006/main">
  <w:body>
    <w:p>
      <w:r>
        <w:rPr>
          <w:b w:val="true"/>
          <w:sz w:val="32"/>
        </w:rPr>
        <w:t>Project application #124680</w:t>
        <w:cr/>
        <w:t>Silversea Cruises Ltd., MS Silver Explorer, Expedition High Arctic, 22 August - 09 September 2016</w:t>
        <w:cr/>
      </w:r>
    </w:p>
    <w:tbl>
      <w:tblPr>
        <w:tblCellMar>
          <w:left w:w="0" w:type="dxa"/>
          <w:right w:w="108" w:type="dxa"/>
        </w:tblCellMar>
      </w:tblPr>
      <w:tr>
        <w:tc>
          <w:p>
            <w:r>
              <w:rPr>
                <w:b w:val="true"/>
              </w:rPr>
              <w:t>Application Type:</w:t>
            </w:r>
          </w:p>
        </w:tc>
        <w:tc>
          <w:p>
            <w:r>
              <w:t>New</w:t>
            </w:r>
          </w:p>
        </w:tc>
      </w:tr>
      <w:tr>
        <w:tc>
          <w:p>
            <w:r>
              <w:rPr>
                <w:b w:val="true"/>
              </w:rPr>
              <w:t>Project Type:</w:t>
            </w:r>
          </w:p>
        </w:tc>
        <w:tc>
          <w:p>
            <w:r>
              <w:t>Tourism</w:t>
            </w:r>
          </w:p>
        </w:tc>
      </w:tr>
      <w:tr>
        <w:tc>
          <w:p>
            <w:r>
              <w:rPr>
                <w:b w:val="true"/>
              </w:rPr>
              <w:t>Application Date:</w:t>
            </w:r>
          </w:p>
        </w:tc>
        <w:tc>
          <w:p>
            <w:r>
              <w:t>2016-06-19</w:t>
            </w:r>
          </w:p>
        </w:tc>
      </w:tr>
      <w:tr>
        <w:tc>
          <w:p>
            <w:r>
              <w:rPr>
                <w:b w:val="true"/>
              </w:rPr>
              <w:t>Period of Operation:</w:t>
            </w:r>
          </w:p>
        </w:tc>
        <w:tc>
          <w:p>
            <w:r>
              <w:t>From 2016-08-28 to 2016-09-07</w:t>
            </w:r>
          </w:p>
        </w:tc>
      </w:tr>
      <w:tr>
        <w:tc>
          <w:p>
            <w:r>
              <w:rPr>
                <w:b w:val="true"/>
              </w:rPr>
              <w:t>Proposed Authorization:</w:t>
            </w:r>
          </w:p>
        </w:tc>
        <w:tc>
          <w:p>
            <w:r>
              <w:t>From 2016-08-28 to 2016-09-07</w:t>
            </w:r>
          </w:p>
        </w:tc>
      </w:tr>
    </w:tbl>
    <w:tbl>
      <w:tblPr>
        <w:tblCellMar>
          <w:left w:w="0" w:type="dxa"/>
          <w:right w:w="108" w:type="dxa"/>
        </w:tblCellMar>
      </w:tblPr>
      <w:tr>
        <w:tc>
          <w:p>
            <w:r>
              <w:rPr>
                <w:b w:val="true"/>
              </w:rPr>
              <w:t>Project proponent: </w:t>
            </w:r>
          </w:p>
        </w:tc>
        <w:tc>
          <w:p>
            <w:r>
              <w:t>Conrad Combrink</w:t>
            </w:r>
            <w:r>
              <w:br/>
            </w:r>
            <w:r>
              <w:t>Silversea Cruises Ltd</w:t>
            </w:r>
            <w:r>
              <w:br/>
            </w:r>
            <w:r>
              <w:t>Wells Fargo Center, 333 Southeast 2nd Avenue, Suite 2600</w:t>
            </w:r>
            <w:r>
              <w:br/>
            </w:r>
            <w:r>
              <w:t>Miami Florida 33131</w:t>
            </w:r>
            <w:r>
              <w:br/>
            </w:r>
            <w:r>
              <w:t>USA</w:t>
            </w:r>
            <w:r>
              <w:br/>
            </w:r>
            <w:r>
              <w:t>Tel: 001 954 225 2567, fax: 001 954 522 4499</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Voyage 7619</w:t>
            </w:r>
          </w:p>
        </w:tc>
        <w:tc>
          <w:p>
            <w:r>
              <w:t>Marine Based Activities</w:t>
            </w:r>
          </w:p>
        </w:tc>
        <w:tc>
          <w:p>
            <w:r>
              <w:t>Marine</w:t>
            </w:r>
          </w:p>
        </w:tc>
        <w:tc>
          <w:p>
            <w:r>
              <w:t>Marine (Cruise Passage)</w:t>
            </w:r>
          </w:p>
        </w:tc>
        <w:tc>
          <w:p>
            <w:r>
              <w:t>N/A</w:t>
            </w:r>
          </w:p>
        </w:tc>
        <w:tc>
          <w:p>
            <w:r>
              <w:t>N/A</w:t>
            </w:r>
          </w:p>
        </w:tc>
      </w:tr>
      <w:tr>
        <w:tc>
          <w:p>
            <w:r>
              <w:t>Voyage 7619</w:t>
            </w:r>
          </w:p>
        </w:tc>
        <w:tc>
          <w:p>
            <w:r>
              <w:t>Tourism Activities</w:t>
            </w:r>
          </w:p>
        </w:tc>
        <w:tc>
          <w:p>
            <w:r>
              <w:t>Crown</w:t>
            </w:r>
          </w:p>
        </w:tc>
        <w:tc>
          <w:p>
            <w:r>
              <w:t>Dundas Harbour, Devon Island</w:t>
            </w:r>
          </w:p>
        </w:tc>
        <w:tc>
          <w:p>
            <w:r>
              <w:t>Thule site and 20th century site of a Hudson's Bay Company trading post and Royal Canadian Mountain Police Station</w:t>
            </w:r>
          </w:p>
        </w:tc>
        <w:tc>
          <w:p>
            <w:r>
              <w:t>We have notified Pond Inlet and Resolute of the planned activities (and applied for a Class 1 Archaeological Permit)</w:t>
            </w:r>
          </w:p>
        </w:tc>
      </w:tr>
      <w:tr>
        <w:tc>
          <w:p>
            <w:r>
              <w:t>Voyage 7619</w:t>
            </w:r>
          </w:p>
        </w:tc>
        <w:tc>
          <w:p>
            <w:r>
              <w:t>Tourism Activities</w:t>
            </w:r>
          </w:p>
        </w:tc>
        <w:tc>
          <w:p>
            <w:r>
              <w:t>Crown</w:t>
            </w:r>
          </w:p>
        </w:tc>
        <w:tc>
          <w:p>
            <w:r>
              <w:t>Beechey Island - Northumberland House and Franklin Camp</w:t>
            </w:r>
          </w:p>
        </w:tc>
        <w:tc>
          <w:p>
            <w:r>
              <w:t>Northumberland House (74 41 28 N // 091 48 29 W) Timber remains of structure built in 1850s by the crew of the HMS North Star as emergency shelter for any surviving members of the Franklin expedition. Franklin camp (74 43 12 N // 091 50 24 W) Overwintering site in 1845-6 for the Franklin expedition searching for the Northwest Passage. Remains include graves, upstanding grave markers, and evidence of habitation.</w:t>
            </w:r>
          </w:p>
        </w:tc>
        <w:tc>
          <w:p>
            <w:r>
              <w:t>We have notified Pond Inlet and Resolute of the planned activities (and applied for a Class 1 Archaeological Permit)</w:t>
            </w:r>
          </w:p>
        </w:tc>
      </w:tr>
      <w:tr>
        <w:tc>
          <w:p>
            <w:r>
              <w:t>Voyage 7619</w:t>
            </w:r>
          </w:p>
        </w:tc>
        <w:tc>
          <w:p>
            <w:r>
              <w:t>Tourism Activities</w:t>
            </w:r>
          </w:p>
        </w:tc>
        <w:tc>
          <w:p>
            <w:r>
              <w:t>Crown</w:t>
            </w:r>
          </w:p>
        </w:tc>
        <w:tc>
          <w:p>
            <w:r>
              <w:t>Caswall Tower, Devon Island, Radstock Bay - Thule Site</w:t>
            </w:r>
          </w:p>
        </w:tc>
        <w:tc>
          <w:p>
            <w:r>
              <w:t>Thule site</w:t>
            </w:r>
          </w:p>
        </w:tc>
        <w:tc>
          <w:p>
            <w:r>
              <w:t>We have notified Pond Inlet and Resolute of the planned activities (and applied for a Class 1 Archaeological Permit)</w:t>
            </w:r>
          </w:p>
        </w:tc>
      </w:tr>
      <w:tr>
        <w:tc>
          <w:p>
            <w:r>
              <w:t>Voyage 7619</w:t>
            </w:r>
          </w:p>
        </w:tc>
        <w:tc>
          <w:p>
            <w:r>
              <w:t>Tourism Activities</w:t>
            </w:r>
          </w:p>
        </w:tc>
        <w:tc>
          <w:p>
            <w:r>
              <w:t>Crown</w:t>
            </w:r>
          </w:p>
        </w:tc>
        <w:tc>
          <w:p>
            <w:r>
              <w:t>Blacklead Island Whaling Station</w:t>
            </w:r>
          </w:p>
        </w:tc>
        <w:tc>
          <w:p>
            <w:r>
              <w:t>Site was designated in 1985 as a National Historic Site as a reminder of the importance that the site played in the Eastern Arctic history from the 1860's through the early 20th century. Remains include the Anglican Mission and Scottish outpost.</w:t>
            </w:r>
          </w:p>
        </w:tc>
        <w:tc>
          <w:p>
            <w:r>
              <w:t>We have notified Pond Inlet and Resolute of the planned activities (and applied for a Class 1 Archaeological Permit). For this site we are also contacting Parks Canada's Lands division of Indigenous and Northern Affairs Canada (INAC) to discuss specifics on proposed activities and any associated permits/requirements.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Government of Nunavut, Department of Economic Development &amp; Transportation</w:t>
            </w:r>
          </w:p>
        </w:tc>
        <w:tc>
          <w:p>
            <w:r>
              <w:t>Outfitter's License</w:t>
            </w:r>
          </w:p>
        </w:tc>
        <w:tc>
          <w:p>
            <w:r>
              <w:t>Active</w:t>
            </w:r>
          </w:p>
        </w:tc>
        <w:tc>
          <w:p>
            <w:r>
              <w:t/>
            </w:r>
          </w:p>
        </w:tc>
        <w:tc>
          <w:p>
            <w:r>
              <w:t>2016-12-31</w:t>
            </w:r>
          </w:p>
        </w:tc>
      </w:tr>
      <w:tr>
        <w:tc>
          <w:p>
            <w:r>
              <w:t>Other</w:t>
            </w:r>
          </w:p>
        </w:tc>
        <w:tc>
          <w:p>
            <w:r>
              <w:t>Government of Nunavut, Department of Culture and Heritage Class 1 Archaeological Permit</w:t>
            </w:r>
          </w:p>
        </w:tc>
        <w:tc>
          <w:p>
            <w:r>
              <w:t>Applied, Decision Pending</w:t>
            </w:r>
          </w:p>
        </w:tc>
        <w:tc>
          <w:p>
            <w:r>
              <w:t/>
            </w:r>
          </w:p>
        </w:tc>
        <w:tc>
          <w:p>
            <w:r>
              <w:t/>
            </w:r>
          </w:p>
        </w:tc>
      </w:tr>
      <w:tr>
        <w:tc>
          <w:p>
            <w:r>
              <w:t>Other</w:t>
            </w:r>
          </w:p>
        </w:tc>
        <w:tc>
          <w:p>
            <w:r>
              <w:t>Government of Nunavut, Department of Justice (Corporate Registrations/Annual Returns) - Registration as an Extra-territorial Corporation (Renewal)</w:t>
            </w:r>
          </w:p>
        </w:tc>
        <w:tc>
          <w:p>
            <w:r>
              <w:t>Applied, Decision Pending</w:t>
            </w:r>
          </w:p>
        </w:tc>
        <w:tc>
          <w:p>
            <w:r>
              <w:t/>
            </w:r>
          </w:p>
        </w:tc>
        <w:tc>
          <w:p>
            <w:r>
              <w:t/>
            </w:r>
          </w:p>
        </w:tc>
      </w:tr>
      <w:tr>
        <w:tc>
          <w:p>
            <w:r>
              <w:t>Other</w:t>
            </w:r>
          </w:p>
        </w:tc>
        <w:tc>
          <w:p>
            <w:r>
              <w:t>Government of Nunavut, Workers Safety &amp; Compensation Commission - WSSC Exemption (Renewal)</w:t>
            </w:r>
          </w:p>
        </w:tc>
        <w:tc>
          <w:p>
            <w:r>
              <w:t>Applied, Decision Pending</w:t>
            </w:r>
          </w:p>
        </w:tc>
        <w:tc>
          <w:p>
            <w:r>
              <w:t/>
            </w:r>
          </w:p>
        </w:tc>
        <w:tc>
          <w:p>
            <w:r>
              <w:t/>
            </w:r>
          </w:p>
        </w:tc>
      </w:tr>
      <w:tr>
        <w:tc>
          <w:p>
            <w:r>
              <w:t>Other</w:t>
            </w:r>
          </w:p>
        </w:tc>
        <w:tc>
          <w:p>
            <w:r>
              <w:t>CIC/ESCD (Service Canada) LMIA &amp; Work Permit Exemptions</w:t>
            </w:r>
          </w:p>
        </w:tc>
        <w:tc>
          <w:p>
            <w:r>
              <w:t>Applied, Decision Pending</w:t>
            </w:r>
          </w:p>
        </w:tc>
        <w:tc>
          <w:p>
            <w:r>
              <w:t/>
            </w:r>
          </w:p>
        </w:tc>
        <w:tc>
          <w:p>
            <w:r>
              <w:t/>
            </w:r>
          </w:p>
        </w:tc>
      </w:tr>
      <w:tr>
        <w:tc>
          <w:p>
            <w:r>
              <w:t>Canadian Wildlife Service</w:t>
            </w:r>
          </w:p>
        </w:tc>
        <w:tc>
          <w:p>
            <w:r>
              <w:t>Migratory Bird Sanctuary Permit - Bylot Island</w:t>
            </w:r>
          </w:p>
        </w:tc>
        <w:tc>
          <w:p>
            <w:r>
              <w:t>Applied, Decision Pending</w:t>
            </w:r>
          </w:p>
        </w:tc>
        <w:tc>
          <w:p>
            <w:r>
              <w:t/>
            </w:r>
          </w:p>
        </w:tc>
        <w:tc>
          <w:p>
            <w:r>
              <w:t/>
            </w:r>
          </w:p>
        </w:tc>
      </w:tr>
      <w:tr>
        <w:tc>
          <w:p>
            <w:r>
              <w:t>Canadian Wildlife Service</w:t>
            </w:r>
          </w:p>
        </w:tc>
        <w:tc>
          <w:p>
            <w:r>
              <w:t>Migratory Bird Sanctuary Permit - Prince Leopold Island (Zodiac cruise)</w:t>
            </w:r>
          </w:p>
        </w:tc>
        <w:tc>
          <w:p>
            <w:r>
              <w:t>Applied, Decision Pending</w:t>
            </w:r>
          </w:p>
        </w:tc>
        <w:tc>
          <w:p>
            <w:r>
              <w:t/>
            </w:r>
          </w:p>
        </w:tc>
        <w:tc>
          <w:p>
            <w:r>
              <w:t/>
            </w:r>
          </w:p>
        </w:tc>
      </w:tr>
      <w:tr>
        <w:tc>
          <w:p>
            <w:r>
              <w:t>Canadian Wildlife Service</w:t>
            </w:r>
          </w:p>
        </w:tc>
        <w:tc>
          <w:p>
            <w:r>
              <w:t>Ninginganiq National Wildlife Area Permit (Isabella Bay)</w:t>
            </w:r>
          </w:p>
        </w:tc>
        <w:tc>
          <w:p>
            <w:r>
              <w:t>Applied, Decision Pending</w:t>
            </w:r>
          </w:p>
        </w:tc>
        <w:tc>
          <w:p>
            <w:r>
              <w:t/>
            </w:r>
          </w:p>
        </w:tc>
        <w:tc>
          <w:p>
            <w:r>
              <w:t/>
            </w:r>
          </w:p>
        </w:tc>
      </w:tr>
      <w:tr>
        <w:tc>
          <w:p>
            <w:r>
              <w:t>Parks Canada</w:t>
            </w:r>
          </w:p>
        </w:tc>
        <w:tc>
          <w:p>
            <w:r>
              <w:t>Sirmilik National Park - Business and Guide License / Firearms Permit</w:t>
            </w:r>
          </w:p>
        </w:tc>
        <w:tc>
          <w:p>
            <w:r>
              <w:t>Applied, Decision Pending</w:t>
            </w:r>
          </w:p>
        </w:tc>
        <w:tc>
          <w:p>
            <w:r>
              <w:t/>
            </w:r>
          </w:p>
        </w:tc>
        <w:tc>
          <w:p>
            <w:r>
              <w:t/>
            </w:r>
          </w:p>
        </w:tc>
      </w:tr>
      <w:tr>
        <w:tc>
          <w:p>
            <w:r>
              <w:t>Parks Canada</w:t>
            </w:r>
          </w:p>
        </w:tc>
        <w:tc>
          <w:p>
            <w:r>
              <w:t>Lands Division, Indigenous &amp; Northern Affairs (INAC) - will be checking on any permits or requirements for visiting Blacklead Island Whaling Station, National Historic Site of Canada (note we have applied for a Class 1 permit with GN, Department of Culture and Heritage)</w:t>
            </w:r>
          </w:p>
        </w:tc>
        <w:tc>
          <w:p>
            <w:r>
              <w:t>Not Yet Applied</w:t>
            </w:r>
          </w:p>
        </w:tc>
        <w:tc>
          <w:p>
            <w:r>
              <w:t/>
            </w:r>
          </w:p>
        </w:tc>
        <w:tc>
          <w:p>
            <w:r>
              <w:t/>
            </w:r>
          </w:p>
        </w:tc>
      </w:tr>
      <w:tr>
        <w:tc>
          <w:p>
            <w:r>
              <w:t>Other</w:t>
            </w:r>
          </w:p>
        </w:tc>
        <w:tc>
          <w:p>
            <w:r>
              <w:t>Nunavut Planning Commission</w:t>
            </w:r>
          </w:p>
        </w:tc>
        <w:tc>
          <w:p>
            <w:r>
              <w:t>Applied, Decision Pending</w:t>
            </w:r>
          </w:p>
        </w:tc>
        <w:tc>
          <w:p>
            <w:r>
              <w:t/>
            </w:r>
          </w:p>
        </w:tc>
        <w:tc>
          <w:p>
            <w:r>
              <w:t/>
            </w:r>
          </w:p>
        </w:tc>
      </w:tr>
    </w:tbl>
    <w:p>
      <w:r>
        <w:rPr>
          <w:b w:val="true"/>
          <w:sz w:val="24"/>
        </w:rPr>
        <w:cr/>
        <w:t>Project transportation types</w:t>
      </w:r>
    </w:p>
    <w:tbl>
      <w:tblPr>
        <w:tblCellMar>
          <w:left w:w="0" w:type="dxa"/>
          <w:right w:w="108" w:type="dxa"/>
        </w:tblCellMar>
        <w:tblBorders>
          <w:top w:val="single"/>
          <w:left w:val="single"/>
          <w:bottom w:val="single"/>
          <w:right w:val="single"/>
          <w:insideH w:val="single"/>
          <w:insideV w:val="single"/>
        </w:tblBorders>
      </w:tblPr>
      <w:tr>
        <w:tc>
          <w:p>
            <w:r>
              <w:rPr>
                <w:b w:val="true"/>
              </w:rPr>
              <w:t>Transportation Type</w:t>
            </w:r>
          </w:p>
        </w:tc>
        <w:tc>
          <w:p>
            <w:r>
              <w:rPr>
                <w:b w:val="true"/>
              </w:rPr>
              <w:t>Quantity</w:t>
            </w:r>
          </w:p>
        </w:tc>
        <w:tc>
          <w:p>
            <w:r>
              <w:rPr>
                <w:b w:val="true"/>
              </w:rPr>
              <w:t>Proposed Use</w:t>
            </w:r>
          </w:p>
        </w:tc>
        <w:tc>
          <w:p>
            <w:r>
              <w:rPr>
                <w:b w:val="true"/>
              </w:rPr>
              <w:t>Length of Use</w:t>
            </w:r>
          </w:p>
        </w:tc>
      </w:tr>
      <w:tr>
        <w:tc>
          <w:p>
            <w:r>
              <w:t>MS Silver Explorer</w:t>
            </w:r>
          </w:p>
        </w:tc>
        <w:tc>
          <w:p>
            <w:r>
              <w:t>1</w:t>
            </w:r>
          </w:p>
        </w:tc>
        <w:tc>
          <w:p>
            <w:r>
              <w:t>Vessel providing transporation and accommodations</w:t>
            </w:r>
          </w:p>
        </w:tc>
        <w:tc>
          <w:p>
            <w:r>
              <w:t>11 days (28 August - 07 September 2016)</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Pond Inlet</w:t>
            </w:r>
          </w:p>
        </w:tc>
        <w:tc>
          <w:p>
            <w:r>
              <w:t>Samuel Arreak (Interim) Community Economic Development Officer</w:t>
            </w:r>
          </w:p>
        </w:tc>
        <w:tc>
          <w:p>
            <w:r>
              <w:t>Hamlet of Pond Inlet</w:t>
            </w:r>
          </w:p>
        </w:tc>
        <w:tc>
          <w:p>
            <w:r>
              <w:t>2016-02-01</w:t>
            </w:r>
          </w:p>
        </w:tc>
      </w:tr>
      <w:tr>
        <w:tc>
          <w:p>
            <w:r>
              <w:t>Pond Inlet</w:t>
            </w:r>
          </w:p>
        </w:tc>
        <w:tc>
          <w:p>
            <w:r>
              <w:t>Timothy Akoomalik</w:t>
            </w:r>
          </w:p>
        </w:tc>
        <w:tc>
          <w:p>
            <w:r>
              <w:t>Nattinnak Visitor Centre Manager</w:t>
            </w:r>
          </w:p>
        </w:tc>
        <w:tc>
          <w:p>
            <w:r>
              <w:t>2016-02-01</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Ms Silver Explorer</w:t>
            </w:r>
          </w:p>
        </w:tc>
        <w:tc>
          <w:p>
            <w:r>
              <w:t>1</w:t>
            </w:r>
          </w:p>
        </w:tc>
        <w:tc>
          <w:p>
            <w:r>
              <w:t>Length overall 108.0m, Breadth 15.6m, Draft Max 4.51m, 6130.0 Gross Tonnage</w:t>
            </w:r>
          </w:p>
        </w:tc>
        <w:tc>
          <w:p>
            <w:r>
              <w:t>Vessel transport and accommodations</w:t>
            </w:r>
          </w:p>
        </w:tc>
      </w:tr>
      <w:tr>
        <w:tc>
          <w:p>
            <w:r>
              <w:t>Mark V brand Zodiac inflatable boats (8) with 60HP Suzuki-brand outboard engines</w:t>
            </w:r>
          </w:p>
        </w:tc>
        <w:tc>
          <w:p>
            <w:r>
              <w:t>8</w:t>
            </w:r>
          </w:p>
        </w:tc>
        <w:tc>
          <w:p>
            <w:r>
              <w:t>Length overall 5.85m, width 2.48m, carrying capacity of 12 persons</w:t>
            </w:r>
          </w:p>
        </w:tc>
        <w:tc>
          <w:p>
            <w:r>
              <w:t>To facilitate shore landings and for short sightseeing excursions</w:t>
            </w:r>
          </w:p>
        </w:tc>
      </w:tr>
      <w:tr>
        <w:tc>
          <w:p>
            <w:r>
              <w:t>Mark VI brand Zodiac inflatable boats (2) with 70HP Suzuki-brand outboard engines</w:t>
            </w:r>
          </w:p>
        </w:tc>
        <w:tc>
          <w:p>
            <w:r>
              <w:t>2</w:t>
            </w:r>
          </w:p>
        </w:tc>
        <w:tc>
          <w:p>
            <w:r>
              <w:t>Length overall 7.0m, width 2.88m, carrying capacity of 16 persons</w:t>
            </w:r>
          </w:p>
        </w:tc>
        <w:tc>
          <w:p>
            <w:r>
              <w:t>To facilitate shore landings and for short sightseeing excursions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570</w:t>
            </w:r>
          </w:p>
        </w:tc>
        <w:tc>
          <w:p>
            <w:r>
              <w:t>570</w:t>
            </w:r>
          </w:p>
        </w:tc>
        <w:tc>
          <w:p>
            <w:r>
              <w:t>Cubic Meters</w:t>
            </w:r>
          </w:p>
        </w:tc>
        <w:tc>
          <w:p>
            <w:r>
              <w:t>Fuel for vessel</w:t>
            </w:r>
          </w:p>
        </w:tc>
      </w:tr>
      <w:tr>
        <w:tc>
          <w:p>
            <w:r>
              <w:t>Gasoline</w:t>
            </w:r>
          </w:p>
        </w:tc>
        <w:tc>
          <w:p>
            <w:r>
              <w:t>fuel</w:t>
            </w:r>
          </w:p>
        </w:tc>
        <w:tc>
          <w:p>
            <w:r>
              <w:t>2</w:t>
            </w:r>
          </w:p>
        </w:tc>
        <w:tc>
          <w:p>
            <w:r>
              <w:t>900</w:t>
            </w:r>
          </w:p>
        </w:tc>
        <w:tc>
          <w:p>
            <w:r>
              <w:t>1800</w:t>
            </w:r>
          </w:p>
        </w:tc>
        <w:tc>
          <w:p>
            <w:r>
              <w:t>Liters</w:t>
            </w:r>
          </w:p>
        </w:tc>
        <w:tc>
          <w:p>
            <w:r>
              <w:t>Fuel for Zodiacs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Combustible wastes</w:t>
            </w:r>
          </w:p>
        </w:tc>
        <w:tc>
          <w:p>
            <w:r>
              <w:t>0.5m3/day</w:t>
            </w:r>
          </w:p>
        </w:tc>
        <w:tc>
          <w:p>
            <w:r>
              <w:t>Disposal to shore to a certified reception port</w:t>
            </w:r>
          </w:p>
        </w:tc>
        <w:tc>
          <w:p>
            <w:r>
              <w:t>N/A</w:t>
            </w:r>
          </w:p>
        </w:tc>
      </w:tr>
      <w:tr>
        <w:tc>
          <w:p>
            <w:r>
              <w:t>Marine Based Activities</w:t>
            </w:r>
          </w:p>
        </w:tc>
        <w:tc>
          <w:p>
            <w:r>
              <w:t>Greywater</w:t>
            </w:r>
          </w:p>
        </w:tc>
        <w:tc>
          <w:p>
            <w:r>
              <w:t>65m3/day</w:t>
            </w:r>
          </w:p>
        </w:tc>
        <w:tc>
          <w:p>
            <w:r>
              <w:t>Discharge sea/shore according to Canadian legislation</w:t>
            </w:r>
          </w:p>
        </w:tc>
        <w:tc>
          <w:p>
            <w:r>
              <w:t>Yes, according to Canadian legislation</w:t>
            </w:r>
          </w:p>
        </w:tc>
      </w:tr>
      <w:tr>
        <w:tc>
          <w:p>
            <w:r>
              <w:t>Marine Based Activities</w:t>
            </w:r>
          </w:p>
        </w:tc>
        <w:tc>
          <w:p>
            <w:r>
              <w:t>Hazardous waste</w:t>
            </w:r>
          </w:p>
        </w:tc>
        <w:tc>
          <w:p>
            <w:r>
              <w:t>0.1m3/week</w:t>
            </w:r>
          </w:p>
        </w:tc>
        <w:tc>
          <w:p>
            <w:r>
              <w:t>Disposal to shore to a certified reception port</w:t>
            </w:r>
          </w:p>
        </w:tc>
        <w:tc>
          <w:p>
            <w:r>
              <w:t>N/A</w:t>
            </w:r>
          </w:p>
        </w:tc>
      </w:tr>
      <w:tr>
        <w:tc>
          <w:p>
            <w:r>
              <w:t>Marine Based Activities</w:t>
            </w:r>
          </w:p>
        </w:tc>
        <w:tc>
          <w:p>
            <w:r>
              <w:t>Non-Combustible wastes</w:t>
            </w:r>
          </w:p>
        </w:tc>
        <w:tc>
          <w:p>
            <w:r>
              <w:t>2m3/day</w:t>
            </w:r>
          </w:p>
        </w:tc>
        <w:tc>
          <w:p>
            <w:r>
              <w:t>Disposal to shore to a certified reception port</w:t>
            </w:r>
          </w:p>
        </w:tc>
        <w:tc>
          <w:p>
            <w:r>
              <w:t>N/A</w:t>
            </w:r>
          </w:p>
        </w:tc>
      </w:tr>
      <w:tr>
        <w:tc>
          <w:p>
            <w:r>
              <w:t>Tourism Activities</w:t>
            </w:r>
          </w:p>
        </w:tc>
        <w:tc>
          <w:p>
            <w:r>
              <w:t>Other, Waste from shore</w:t>
            </w:r>
          </w:p>
        </w:tc>
        <w:tc>
          <w:p>
            <w:r>
              <w:t>TBD</w:t>
            </w:r>
          </w:p>
        </w:tc>
        <w:tc>
          <w:p>
            <w:r>
              <w:t>Collected from shore, sorted on board, treated by type (if necessary) as above</w:t>
            </w:r>
          </w:p>
        </w:tc>
        <w:tc>
          <w:p>
            <w:r>
              <w:t>N/A</w:t>
            </w:r>
          </w:p>
        </w:tc>
      </w:tr>
      <w:tr>
        <w:tc>
          <w:p>
            <w:r>
              <w:t>Marine Based Activities</w:t>
            </w:r>
          </w:p>
        </w:tc>
        <w:tc>
          <w:p>
            <w:r>
              <w:t>Overburden (organic soil, waste material, tailings)</w:t>
            </w:r>
          </w:p>
        </w:tc>
        <w:tc>
          <w:p>
            <w:r>
              <w:t>None</w:t>
            </w:r>
          </w:p>
        </w:tc>
        <w:tc>
          <w:p>
            <w:r>
              <w:t>N/A</w:t>
            </w:r>
          </w:p>
        </w:tc>
        <w:tc>
          <w:p>
            <w:r>
              <w:t>N/A</w:t>
            </w:r>
          </w:p>
        </w:tc>
      </w:tr>
      <w:tr>
        <w:tc>
          <w:p>
            <w:r>
              <w:t>Marine Based Activities</w:t>
            </w:r>
          </w:p>
        </w:tc>
        <w:tc>
          <w:p>
            <w:r>
              <w:t>Sewage (human waste)</w:t>
            </w:r>
          </w:p>
        </w:tc>
        <w:tc>
          <w:p>
            <w:r>
              <w:t>3m3/day</w:t>
            </w:r>
          </w:p>
        </w:tc>
        <w:tc>
          <w:p>
            <w:r>
              <w:t>Discharge sea/shore according to Canadian legislation</w:t>
            </w:r>
          </w:p>
        </w:tc>
        <w:tc>
          <w:p>
            <w:r>
              <w:t>Yes, chemicals according to Canadian legislation</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0</w:t>
            </w:r>
          </w:p>
        </w:tc>
        <w:tc>
          <w:p>
            <w:r>
              <w:t>Reverse Osmosis (RO) Plants</w:t>
            </w:r>
          </w:p>
        </w:tc>
        <w:tc>
          <w:p>
            <w:r>
              <w:t>Tanks</w:t>
            </w:r>
          </w:p>
        </w:tc>
      </w:tr>
    </w:tbl>
    <w:p>
      <w:r>
        <w:br w:type="page"/>
      </w:r>
    </w:p>
    <w:p>
      <w:r>
        <w:rPr>
          <w:b w:val="true"/>
          <w:sz w:val="24"/>
        </w:rPr>
        <w:t>PROJECT APPLICATION PART II</w:t>
      </w:r>
    </w:p>
    <w:p>
      <w:r>
        <w:rPr>
          <w:b w:val="true"/>
        </w:rPr>
        <w:t>Project General Information</w:t>
      </w:r>
      <w:br/>
      <w:r>
        <w:t>General information may be found in the Project Summary and attached Environmental Impact Assessment.</w:t>
      </w:r>
      <w:br/>
      <w:r>
        <w:rPr>
          <w:b w:val="true"/>
        </w:rPr>
        <w:t>DFO Operaional Satement Conformity</w:t>
      </w:r>
      <w:br/>
      <w:r>
        <w:t>N/A</w:t>
      </w:r>
      <w:br/>
      <w:r>
        <w:rPr>
          <w:b w:val="true"/>
        </w:rPr>
        <w:t>Transportation</w:t>
      </w:r>
      <w:br/>
      <w:r>
        <w:t>Details on the vessel to be used (MS Silver Explorer) and auxilliary boats have been included in the Material use section. Additional information can be found in the attached Environmental Impact Assessment.</w:t>
      </w:r>
      <w:br/>
      <w:r>
        <w:rPr>
          <w:b w:val="true"/>
        </w:rPr>
        <w:t>Camp Site</w:t>
      </w:r>
      <w:br/>
      <w:r>
        <w:t>N/A</w:t>
      </w:r>
      <w:br/>
      <w:r>
        <w:rPr>
          <w:b w:val="true"/>
        </w:rPr>
        <w:t>Equipment</w:t>
      </w:r>
      <w:br/>
      <w:r>
        <w:t>Equipment has been identified in the Material Use section. Additional information can be found in the attached Environmental Impact Assessment.</w:t>
      </w:r>
      <w:br/>
      <w:r>
        <w:rPr>
          <w:b w:val="true"/>
        </w:rPr>
        <w:t>Water</w:t>
      </w:r>
      <w:br/>
      <w:r>
        <w:t>Water usage has been entered on the Material Use tab. Additional information can be found in the attached Environmental Impact Assessment.</w:t>
      </w:r>
      <w:br/>
      <w:r>
        <w:rPr>
          <w:b w:val="true"/>
        </w:rPr>
        <w:t>Waste Water (Grey water, Sewage, Other)</w:t>
      </w:r>
      <w:br/>
      <w:r>
        <w:t>Details on Waste Water can be found in the attached Environmental Impact Assessment.</w:t>
      </w:r>
      <w:br/>
      <w:r>
        <w:rPr>
          <w:b w:val="true"/>
        </w:rPr>
        <w:t>Fuel</w:t>
      </w:r>
      <w:br/>
      <w:r>
        <w:t>Details on Fuel can be found in the attached Environmental Impact Assessment.</w:t>
      </w:r>
      <w:br/>
      <w:r>
        <w:rPr>
          <w:b w:val="true"/>
        </w:rPr>
        <w:t>Chemical and Hazardous Material</w:t>
      </w:r>
      <w:br/>
      <w:r>
        <w:t>Details on Chemicals and Hazardous Materials can be found in the attached Environmental Impact Assessment.</w:t>
      </w:r>
      <w:br/>
      <w:r>
        <w:rPr>
          <w:b w:val="true"/>
        </w:rPr>
        <w:t>Workforce and Human Resources / Socio-Economic Impacts</w:t>
      </w:r>
      <w:br/>
      <w:r>
        <w:t>120 crew members plus approximately 13 expedition staff are employed to work aboard MS SILVER EXPLORER. An Economic Benefits Pre and Post Report has been filed with Martine Dupont, Manager Tourism Development, Department of Economic Development and Transportation, Government of Nunavut</w:t>
      </w:r>
      <w:br/>
      <w:r>
        <w:rPr>
          <w:b w:val="true"/>
        </w:rPr>
        <w:t>Public Involvement / Traditional Knowledge</w:t>
      </w:r>
      <w:br/>
      <w:r>
        <w:t>Public involvement is a key component to reviewing activities that are being planned within Nunavut and we welcome this aspect of the NIRB review process. From what we have learned we understand that Implementation of Traditional Knowledge and Inuit Qaujimaningit is meant to "encompass local and community based knowledge, ecological knowledge (both traditional and contemporary), which is rooted in the daily life of Inuit people, and has an important contribution to make to an environmental assessment."  Further, we note that NIRB "requires project proponents to not only incorporate traditional knowledge into the baseline collection and methodologies of resource management, but further outline where management strategies, mitigation and monitoring plans, and/or operational considerations employ values of Inuit Qaujimajatuqangit." We are guided in our day to day operations by a mission that our planned activities have less than a minor or transitory impact and have prepared a comprehensive Environmental Impact Assessment not only for this cruise but for our worldwide operations. This EIA has been posted as a background document. We have have conducted a number of cruises now to Nunavut, including a full transit of the Northwest Passage, and welcome the insight and knowledge from the government agencies, community leaders/elders, review boards, and public in assisting us in coordinating our programs and ensuring our operations are carried out in a manner that is satisfactory to all.</w:t>
      </w:r>
      <w:br/>
      <w:r>
        <w:rPr>
          <w:b w:val="true"/>
        </w:rPr>
        <w:t>SECTION H: Marine Based Activities: Disposal at Sea</w:t>
      </w:r>
      <w:br/>
      <w:r>
        <w:t>Details on the Vessel Use have been included in the  Details, Materials Use and Waste sections. Additional information can be found in the attached Environmental Impact Assessment.</w:t>
      </w:r>
      <w:br/>
      <w:r>
        <w:rPr>
          <w:b w:val="true"/>
        </w:rPr>
        <w:t>Description of Existing Environment: Physical Environment</w:t>
      </w:r>
      <w:br/>
      <w:r>
        <w:t>See Environmental Impact Assessment for information in this regard.</w:t>
      </w:r>
      <w:br/>
      <w:r>
        <w:rPr>
          <w:b w:val="true"/>
        </w:rPr>
        <w:t>Description of Existing Environment: Biological Environment</w:t>
      </w:r>
      <w:br/>
      <w:r>
        <w:t>See Environmental Impact Assessment for information in this regard.</w:t>
      </w:r>
      <w:br/>
      <w:r>
        <w:rPr>
          <w:b w:val="true"/>
        </w:rPr>
        <w:t>Description of Existing Environment: Socioeconomic Environment</w:t>
      </w:r>
      <w:br/>
      <w:r>
        <w:t>Taking the following definition in mind (A definition of the term "Socioeconomic Environment" is presented. It refers to the combination of external social and economic conditions that influence the operation and performance of an organization. The socioeconomic environment is part of the overall business environment.) this is unknown to us however it is recognized that this activity will have both an economic impact and also a social impact on the community that is being visited. Both are perceived to be positive impacts as notec in the Public Involvement/Traditional Knowledge section.</w:t>
      </w:r>
      <w:br/>
      <w:r>
        <w:rPr>
          <w:b w:val="true"/>
        </w:rPr>
        <w:t>Identification of Impacts and Proposed Mitigation Measures</w:t>
      </w:r>
      <w:br/>
      <w:r>
        <w:t>Likely impacts resulting from the proposed activity have been assessed. Cumulative impacts of the proposed activity have also been considered. Measures to minimize and mitigate potential impacts of the proposed activity have also been considered. The possibility of potential impacts will be minimized by strict adherence to applicable laws and regulations, company policies and standard operating policies; careful pre-trip planning and preparation including obtaining advance permits/authorizations (where applicable); briefings; advice received from the communities/review boards; and the supervision and monitoring of visitor activities in the field by experienced personnel. Direct, indirect and cumulative impacts of the proposed activity have been considered, as have alternatives. Provided that minimization and mitigation measures are adhered to, it is concluded that the proposed activity will have less than a minor or transitory impact and that the activity should be authorized/permitted to proceed. Further information can be found in the attached Evironmental Impact Assessment.</w:t>
      </w:r>
      <w:br/>
      <w:r>
        <w:rPr>
          <w:b w:val="true"/>
        </w:rPr>
        <w:t>Cumulative Effects</w:t>
      </w:r>
      <w:br/>
      <w:r>
        <w:t>Cumulative impacts of the proposed activity have also been considered. Measures to minimize and mitigate potential impacts of the proposed activity have also been considered. The possibility of potential impacts will be minimized by strict adherence to applicable laws and regulations, company policies and standard operating policies; careful pre-trip planning and preparation including obtaining advance permits/authorizations (where applicable); briefings; advice received from the communities/review boards; and the supervision and monitoring of visitor activities in the field by experienced personnel. Direct, indirect and cumulative impacts of the proposed activity have been considered, as have alternatives. Provided that minimization and mitigation measures are adhered to, it is concluded that the proposed activity will have less than a minor or transitory impact and that the activity should be authorized/permitted to proceed. Further information can be found in the attached Evironmental Impact Assessment.</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r>
      <w:tr>
        <w:tc>
          <w:p>
            <w:r>
              <w:t>Tourism Activities</w:t>
            </w:r>
          </w:p>
        </w:tc>
        <w:tc>
          <w:tcPr>
            <w:tcW w:w="200" w:type="dxa"/>
          </w:tcPr>
          <w:p>
            <w:r>
              <w:t>M</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M</w:t>
            </w:r>
          </w:p>
        </w:tc>
        <w:tc>
          <w:tcPr>
            <w:tcW w:w="200" w:type="dxa"/>
          </w:tcPr>
          <w:p>
            <w:r>
              <w:t>M</w:t>
            </w:r>
          </w:p>
        </w:tc>
        <w:tc>
          <w:tcPr>
            <w:tcW w:w="200" w:type="dxa"/>
          </w:tcPr>
          <w:p>
            <w:r>
              <w:t>M</w:t>
            </w:r>
          </w:p>
        </w:tc>
        <w:tc>
          <w:tcPr>
            <w:tcW w:w="200" w:type="dxa"/>
          </w:tcPr>
          <w:p>
            <w:r>
              <w:t>U</w:t>
            </w:r>
          </w:p>
        </w:tc>
        <w:tc>
          <w:tcPr>
            <w:tcW w:w="200" w:type="dxa"/>
          </w:tcPr>
          <w:p>
            <w:r>
              <w:t>M</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