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7343b7ed6e242de" /></Relationships>
</file>

<file path=word/document.xml><?xml version="1.0" encoding="utf-8"?>
<w:document xmlns:w="http://schemas.openxmlformats.org/wordprocessingml/2006/main">
  <w:body>
    <w:p>
      <w:r>
        <w:rPr>
          <w:b w:val="true"/>
          <w:sz w:val="32"/>
        </w:rPr>
        <w:t>Project application #124689</w:t>
        <w:cr/>
        <w:t>Silversea Cruises Ltd., MS Silver Explorer, North Atlantic Adventure, 09-21 September 2016, Voyage 7620</w:t>
        <w:cr/>
      </w:r>
    </w:p>
    <w:tbl>
      <w:tblPr>
        <w:tblCellMar>
          <w:left w:w="0" w:type="dxa"/>
          <w:right w:w="108" w:type="dxa"/>
        </w:tblCellMar>
      </w:tblPr>
      <w:tr>
        <w:tc>
          <w:p>
            <w:r>
              <w:rPr>
                <w:b w:val="true"/>
              </w:rPr>
              <w:t>Application Type:</w:t>
            </w:r>
          </w:p>
        </w:tc>
        <w:tc>
          <w:p>
            <w:r>
              <w:t>New</w:t>
            </w:r>
          </w:p>
        </w:tc>
      </w:tr>
      <w:tr>
        <w:tc>
          <w:p>
            <w:r>
              <w:rPr>
                <w:b w:val="true"/>
              </w:rPr>
              <w:t>Project Type:</w:t>
            </w:r>
          </w:p>
        </w:tc>
        <w:tc>
          <w:p>
            <w:r>
              <w:t>Tourism</w:t>
            </w:r>
          </w:p>
        </w:tc>
      </w:tr>
      <w:tr>
        <w:tc>
          <w:p>
            <w:r>
              <w:rPr>
                <w:b w:val="true"/>
              </w:rPr>
              <w:t>Application Date:</w:t>
            </w:r>
          </w:p>
        </w:tc>
        <w:tc>
          <w:p>
            <w:r>
              <w:t>2016-07-05</w:t>
            </w:r>
          </w:p>
        </w:tc>
      </w:tr>
      <w:tr>
        <w:tc>
          <w:p>
            <w:r>
              <w:rPr>
                <w:b w:val="true"/>
              </w:rPr>
              <w:t>Period of Operation:</w:t>
            </w:r>
          </w:p>
        </w:tc>
        <w:tc>
          <w:p>
            <w:r>
              <w:t>From 2016-09-13 to 2016-09-16</w:t>
            </w:r>
          </w:p>
        </w:tc>
      </w:tr>
      <w:tr>
        <w:tc>
          <w:p>
            <w:r>
              <w:rPr>
                <w:b w:val="true"/>
              </w:rPr>
              <w:t>Proposed Authorization:</w:t>
            </w:r>
          </w:p>
        </w:tc>
        <w:tc>
          <w:p>
            <w:r>
              <w:t>From 2016-09-13 to 2016-09-16</w:t>
            </w:r>
          </w:p>
        </w:tc>
      </w:tr>
    </w:tbl>
    <w:tbl>
      <w:tblPr>
        <w:tblCellMar>
          <w:left w:w="0" w:type="dxa"/>
          <w:right w:w="108" w:type="dxa"/>
        </w:tblCellMar>
      </w:tblPr>
      <w:tr>
        <w:tc>
          <w:p>
            <w:r>
              <w:rPr>
                <w:b w:val="true"/>
              </w:rPr>
              <w:t>Project proponent: </w:t>
            </w:r>
          </w:p>
        </w:tc>
        <w:tc>
          <w:p>
            <w:r>
              <w:t>Conrad Combrink</w:t>
            </w:r>
            <w:r>
              <w:br/>
            </w:r>
            <w:r>
              <w:t>Silversea Cruises Ltd</w:t>
            </w:r>
            <w:r>
              <w:br/>
            </w:r>
            <w:r>
              <w:t>Wells Fargo Center, 333 Southeast 2nd Avenue, Suite 2600</w:t>
            </w:r>
            <w:r>
              <w:br/>
            </w:r>
            <w:r>
              <w:t>Miami Florida 33131</w:t>
            </w:r>
            <w:r>
              <w:br/>
            </w:r>
            <w:r>
              <w:t>USA</w:t>
            </w:r>
            <w:r>
              <w:br/>
            </w:r>
            <w:r>
              <w:t>Tel: 001 954 225 2567, fax: 001 954 522 4499</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Voyage 7620</w:t>
            </w:r>
          </w:p>
        </w:tc>
        <w:tc>
          <w:p>
            <w:r>
              <w:t>Marine Based Activities</w:t>
            </w:r>
          </w:p>
        </w:tc>
        <w:tc>
          <w:p>
            <w:r>
              <w:t>Crown</w:t>
            </w:r>
          </w:p>
        </w:tc>
        <w:tc>
          <w:p>
            <w:r>
              <w:t>N/A</w:t>
            </w:r>
          </w:p>
        </w:tc>
        <w:tc>
          <w:p>
            <w:r>
              <w:t>N/A</w:t>
            </w:r>
          </w:p>
        </w:tc>
        <w:tc>
          <w:p>
            <w:r>
              <w:t>Iqaluit</w:t>
            </w:r>
          </w:p>
        </w:tc>
      </w:tr>
      <w:tr>
        <w:tc>
          <w:p>
            <w:r>
              <w:t>Voyage 7620</w:t>
            </w:r>
          </w:p>
        </w:tc>
        <w:tc>
          <w:p>
            <w:r>
              <w:t>Tourism Activities</w:t>
            </w:r>
          </w:p>
        </w:tc>
        <w:tc>
          <w:p>
            <w:r>
              <w:t>Crown</w:t>
            </w:r>
          </w:p>
        </w:tc>
        <w:tc>
          <w:p>
            <w:r>
              <w:t>Hamlet Community of Iqaluit will be visited as well as Zodiac tours (without shore landings) at Lower Savage Islands, Resolution Island and Akpatok Island.</w:t>
            </w:r>
          </w:p>
        </w:tc>
        <w:tc>
          <w:p>
            <w:r>
              <w:t>No archaeological and/or paoeontological sites will be visited while in Iqaluit.</w:t>
            </w:r>
          </w:p>
        </w:tc>
        <w:tc>
          <w:p>
            <w:r>
              <w:t>Hamlet of Iqaluit. Nunavik Island is part of the Nunavik Marine Region. We have written to the Nunavik Marine Regional Impact Review Board (NMRIRB); email info@nmrirb.ca.</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Government of Nunavut, Department of Economic Development &amp; Transportation</w:t>
            </w:r>
          </w:p>
        </w:tc>
        <w:tc>
          <w:p>
            <w:r>
              <w:t>Outfitter License #2016.OL.222.033</w:t>
            </w:r>
          </w:p>
        </w:tc>
        <w:tc>
          <w:p>
            <w:r>
              <w:t>Active</w:t>
            </w:r>
          </w:p>
        </w:tc>
        <w:tc>
          <w:p>
            <w:r>
              <w:t>2016-06-30</w:t>
            </w:r>
          </w:p>
        </w:tc>
        <w:tc>
          <w:p>
            <w:r>
              <w:t>2016-12-31</w:t>
            </w:r>
          </w:p>
        </w:tc>
      </w:tr>
      <w:tr>
        <w:tc>
          <w:p>
            <w:r>
              <w:t>Other</w:t>
            </w:r>
          </w:p>
        </w:tc>
        <w:tc>
          <w:p>
            <w:r>
              <w:t>Government of Nunavut, Dept. of Justice, Registration as an Extra-Territorial Corporation, License #ET10154 2016-06-08</w:t>
            </w:r>
          </w:p>
        </w:tc>
        <w:tc>
          <w:p>
            <w:r>
              <w:t>Active</w:t>
            </w:r>
          </w:p>
        </w:tc>
        <w:tc>
          <w:p>
            <w:r>
              <w:t>2016-06-08</w:t>
            </w:r>
          </w:p>
        </w:tc>
        <w:tc>
          <w:p>
            <w:r>
              <w:t/>
            </w:r>
          </w:p>
        </w:tc>
      </w:tr>
      <w:tr>
        <w:tc>
          <w:p>
            <w:r>
              <w:t>Other</w:t>
            </w:r>
          </w:p>
        </w:tc>
        <w:tc>
          <w:p>
            <w:r>
              <w:t>Government of Nunavut, Workers Safety &amp; Compensation Commission, WSSC Exemption - received from Sandi Hunt</w:t>
            </w:r>
          </w:p>
        </w:tc>
        <w:tc>
          <w:p>
            <w:r>
              <w:t>Active</w:t>
            </w:r>
          </w:p>
        </w:tc>
        <w:tc>
          <w:p>
            <w:r>
              <w:t>2016-06-30</w:t>
            </w:r>
          </w:p>
        </w:tc>
        <w:tc>
          <w:p>
            <w:r>
              <w:t/>
            </w:r>
          </w:p>
        </w:tc>
      </w:tr>
      <w:tr>
        <w:tc>
          <w:p>
            <w:r>
              <w:t>Transport Canada</w:t>
            </w:r>
          </w:p>
        </w:tc>
        <w:tc>
          <w:p>
            <w:r>
              <w:t>Vessel-related authorizations</w:t>
            </w:r>
          </w:p>
        </w:tc>
        <w:tc>
          <w:p>
            <w:r>
              <w:t>Applied, Decision Pending</w:t>
            </w:r>
          </w:p>
        </w:tc>
        <w:tc>
          <w:p>
            <w:r>
              <w:t/>
            </w:r>
          </w:p>
        </w:tc>
        <w:tc>
          <w:p>
            <w:r>
              <w:t/>
            </w:r>
          </w:p>
        </w:tc>
      </w:tr>
      <w:tr>
        <w:tc>
          <w:p>
            <w:r>
              <w:t>Other</w:t>
            </w:r>
          </w:p>
        </w:tc>
        <w:tc>
          <w:p>
            <w:r>
              <w:t>Canadian Border Services Agency - vessel related authorizations</w:t>
            </w:r>
          </w:p>
        </w:tc>
        <w:tc>
          <w:p>
            <w:r>
              <w:t>Applied, Decision Pending</w:t>
            </w:r>
          </w:p>
        </w:tc>
        <w:tc>
          <w:p>
            <w:r>
              <w:t/>
            </w:r>
          </w:p>
        </w:tc>
        <w:tc>
          <w:p>
            <w:r>
              <w:t/>
            </w:r>
          </w:p>
        </w:tc>
      </w:tr>
      <w:tr>
        <w:tc>
          <w:p>
            <w:r>
              <w:t>Other</w:t>
            </w:r>
          </w:p>
        </w:tc>
        <w:tc>
          <w:p>
            <w:r>
              <w:t>Nunavut Planning Commission - Conformity Determination</w:t>
            </w:r>
          </w:p>
        </w:tc>
        <w:tc>
          <w:p>
            <w:r>
              <w:t>Active</w:t>
            </w:r>
          </w:p>
        </w:tc>
        <w:tc>
          <w:p>
            <w:r>
              <w:t>2016-07-02</w:t>
            </w:r>
          </w:p>
        </w:tc>
        <w:tc>
          <w:p>
            <w:r>
              <w:t/>
            </w:r>
          </w:p>
        </w:tc>
      </w:tr>
      <w:tr>
        <w:tc>
          <w:p>
            <w:r>
              <w:t>Other</w:t>
            </w:r>
          </w:p>
        </w:tc>
        <w:tc>
          <w:p>
            <w:r>
              <w:t>Public Health Agency of Canada - decision pending on health inspection</w:t>
            </w:r>
          </w:p>
        </w:tc>
        <w:tc>
          <w:p>
            <w:r>
              <w:t>Applied, Decision Pending</w:t>
            </w:r>
          </w:p>
        </w:tc>
        <w:tc>
          <w:p>
            <w:r>
              <w:t/>
            </w:r>
          </w:p>
        </w:tc>
        <w:tc>
          <w:p>
            <w:r>
              <w:t/>
            </w:r>
          </w:p>
        </w:tc>
      </w:tr>
      <w:tr>
        <w:tc>
          <w:p>
            <w:r>
              <w:t>Other</w:t>
            </w:r>
          </w:p>
        </w:tc>
        <w:tc>
          <w:p>
            <w:r>
              <w:t>Temporary Foreign Worker's Units/Employment and Social Development Canada (EESCD)/Service Canada - Worker's Permits or Waivers</w:t>
            </w:r>
          </w:p>
        </w:tc>
        <w:tc>
          <w:p>
            <w:r>
              <w:t>Active</w:t>
            </w:r>
          </w:p>
        </w:tc>
        <w:tc>
          <w:p>
            <w:r>
              <w:t/>
            </w:r>
          </w:p>
        </w:tc>
        <w:tc>
          <w:p>
            <w:r>
              <w:t/>
            </w:r>
          </w:p>
        </w:tc>
      </w:tr>
      <w:tr>
        <w:tc>
          <w:p>
            <w:r>
              <w:t>Qikiqtani Inuit Association</w:t>
            </w:r>
          </w:p>
        </w:tc>
        <w:tc>
          <w:p>
            <w:r>
              <w:t>Determination if any Qikiqtani Inuit-owned lands are being visited (requesting an exemption)</w:t>
            </w:r>
          </w:p>
        </w:tc>
        <w:tc>
          <w:p>
            <w:r>
              <w:t>Applied, Decision Pending</w:t>
            </w:r>
          </w:p>
        </w:tc>
        <w:tc>
          <w:p>
            <w:r>
              <w:t/>
            </w:r>
          </w:p>
        </w:tc>
        <w:tc>
          <w:p>
            <w:r>
              <w:t/>
            </w:r>
          </w:p>
        </w:tc>
      </w:tr>
      <w:tr>
        <w:tc>
          <w:p>
            <w:r>
              <w:t>Other</w:t>
            </w:r>
          </w:p>
        </w:tc>
        <w:tc>
          <w:p>
            <w:r>
              <w:t>Iqaluit Hunters and Trappers Organization - notify of activities in the area</w:t>
            </w:r>
          </w:p>
        </w:tc>
        <w:tc>
          <w:p>
            <w:r>
              <w:t>Applied, Decision Pending</w:t>
            </w:r>
          </w:p>
        </w:tc>
        <w:tc>
          <w:p>
            <w:r>
              <w:t/>
            </w:r>
          </w:p>
        </w:tc>
        <w:tc>
          <w:p>
            <w:r>
              <w:t/>
            </w:r>
          </w:p>
        </w:tc>
      </w:tr>
    </w:tbl>
    <w:p>
      <w:r>
        <w:rPr>
          <w:b w:val="true"/>
          <w:sz w:val="24"/>
        </w:rPr>
        <w:cr/>
        <w:t>Project transportation types</w:t>
      </w:r>
    </w:p>
    <w:tbl>
      <w:tblPr>
        <w:tblCellMar>
          <w:left w:w="0" w:type="dxa"/>
          <w:right w:w="108" w:type="dxa"/>
        </w:tblCellMar>
        <w:tblBorders>
          <w:top w:val="single"/>
          <w:left w:val="single"/>
          <w:bottom w:val="single"/>
          <w:right w:val="single"/>
          <w:insideH w:val="single"/>
          <w:insideV w:val="single"/>
        </w:tblBorders>
      </w:tblPr>
      <w:tr>
        <w:tc>
          <w:p>
            <w:r>
              <w:rPr>
                <w:b w:val="true"/>
              </w:rPr>
              <w:t>Transportation Type</w:t>
            </w:r>
          </w:p>
        </w:tc>
        <w:tc>
          <w:p>
            <w:r>
              <w:rPr>
                <w:b w:val="true"/>
              </w:rPr>
              <w:t>Quantity</w:t>
            </w:r>
          </w:p>
        </w:tc>
        <w:tc>
          <w:p>
            <w:r>
              <w:rPr>
                <w:b w:val="true"/>
              </w:rPr>
              <w:t>Proposed Use</w:t>
            </w:r>
          </w:p>
        </w:tc>
        <w:tc>
          <w:p>
            <w:r>
              <w:rPr>
                <w:b w:val="true"/>
              </w:rPr>
              <w:t>Length of Use</w:t>
            </w:r>
          </w:p>
        </w:tc>
      </w:tr>
      <w:tr>
        <w:tc>
          <w:p>
            <w:r>
              <w:t>MS Silver Explorer</w:t>
            </w:r>
          </w:p>
        </w:tc>
        <w:tc>
          <w:p>
            <w:r>
              <w:t>1</w:t>
            </w:r>
          </w:p>
        </w:tc>
        <w:tc>
          <w:p>
            <w:r>
              <w:t>Vessel providing transporation and accommmodations</w:t>
            </w:r>
          </w:p>
        </w:tc>
        <w:tc>
          <w:p>
            <w:r>
              <w:t>4 days (13-16 Sept 2016)</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Iqaluit</w:t>
            </w:r>
          </w:p>
        </w:tc>
        <w:tc>
          <w:p>
            <w:r>
              <w:t>Community of Iqaluit</w:t>
            </w:r>
          </w:p>
        </w:tc>
        <w:tc>
          <w:p>
            <w:r>
              <w:t>Visit coordinated by Louis-Philip Pothier of Inukpak Outfitting, Inc. who is handling all passenger-related activities during our visit</w:t>
            </w:r>
          </w:p>
        </w:tc>
        <w:tc>
          <w:p>
            <w:r>
              <w:t>2016-02-01</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MS Silver Explorer</w:t>
            </w:r>
          </w:p>
        </w:tc>
        <w:tc>
          <w:p>
            <w:r>
              <w:t>1</w:t>
            </w:r>
          </w:p>
        </w:tc>
        <w:tc>
          <w:p>
            <w:r>
              <w:t>Length overall 108.0m, Breadth 15.6m, Draft Max 4.51m, Gross Tonnage 6130.0</w:t>
            </w:r>
          </w:p>
        </w:tc>
        <w:tc>
          <w:p>
            <w:r>
              <w:t>Vessel transport and accommodations</w:t>
            </w:r>
          </w:p>
        </w:tc>
      </w:tr>
      <w:tr>
        <w:tc>
          <w:p>
            <w:r>
              <w:t>Mark V brand Zodiac inflatable boats with 60HP Suzuki-brand outboard engines</w:t>
            </w:r>
          </w:p>
        </w:tc>
        <w:tc>
          <w:p>
            <w:r>
              <w:t>8</w:t>
            </w:r>
          </w:p>
        </w:tc>
        <w:tc>
          <w:p>
            <w:r>
              <w:t>Length overall 5.85m, width 2.48m, carrying capacity of 12 persons</w:t>
            </w:r>
          </w:p>
        </w:tc>
        <w:tc>
          <w:p>
            <w:r>
              <w:t>To facilitate shore landings and for short sightseeing excursions</w:t>
            </w:r>
          </w:p>
        </w:tc>
      </w:tr>
      <w:tr>
        <w:tc>
          <w:p>
            <w:r>
              <w:t>Mark VI brand Zodiac inflatable boats with 70HP Suzuki-brand outboard engines</w:t>
            </w:r>
          </w:p>
        </w:tc>
        <w:tc>
          <w:p>
            <w:r>
              <w:t>2</w:t>
            </w:r>
          </w:p>
        </w:tc>
        <w:tc>
          <w:p>
            <w:r>
              <w:t>Length overall 7.0m, width 2.88m, carrying capacity of 16 persons</w:t>
            </w:r>
          </w:p>
        </w:tc>
        <w:tc>
          <w:p>
            <w:r>
              <w:t>To facilitate shore landings and for short sightseeing excursions</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570</w:t>
            </w:r>
          </w:p>
        </w:tc>
        <w:tc>
          <w:p>
            <w:r>
              <w:t>570</w:t>
            </w:r>
          </w:p>
        </w:tc>
        <w:tc>
          <w:p>
            <w:r>
              <w:t>Cubic Meters</w:t>
            </w:r>
          </w:p>
        </w:tc>
        <w:tc>
          <w:p>
            <w:r>
              <w:t>Fuel for vessel (MT marine gas oil / double skin tanks, ice-strengthened hull)</w:t>
            </w:r>
          </w:p>
        </w:tc>
      </w:tr>
      <w:tr>
        <w:tc>
          <w:p>
            <w:r>
              <w:t>Gasoline</w:t>
            </w:r>
          </w:p>
        </w:tc>
        <w:tc>
          <w:p>
            <w:r>
              <w:t>fuel</w:t>
            </w:r>
          </w:p>
        </w:tc>
        <w:tc>
          <w:p>
            <w:r>
              <w:t>2</w:t>
            </w:r>
          </w:p>
        </w:tc>
        <w:tc>
          <w:p>
            <w:r>
              <w:t>900</w:t>
            </w:r>
          </w:p>
        </w:tc>
        <w:tc>
          <w:p>
            <w:r>
              <w:t>1800</w:t>
            </w:r>
          </w:p>
        </w:tc>
        <w:tc>
          <w:p>
            <w:r>
              <w:t>Liters</w:t>
            </w:r>
          </w:p>
        </w:tc>
        <w:tc>
          <w:p>
            <w:r>
              <w:t>Unleaded gasoline fuel for Zodiacs</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Marine Based Activities</w:t>
            </w:r>
          </w:p>
        </w:tc>
        <w:tc>
          <w:p>
            <w:r>
              <w:t>Combustible wastes</w:t>
            </w:r>
          </w:p>
        </w:tc>
        <w:tc>
          <w:p>
            <w:r>
              <w:t>0.5m3/day</w:t>
            </w:r>
          </w:p>
        </w:tc>
        <w:tc>
          <w:p>
            <w:r>
              <w:t>Disposal to shore to a certified reception port</w:t>
            </w:r>
          </w:p>
        </w:tc>
        <w:tc>
          <w:p>
            <w:r>
              <w:t>N/A</w:t>
            </w:r>
          </w:p>
        </w:tc>
      </w:tr>
      <w:tr>
        <w:tc>
          <w:p>
            <w:r>
              <w:t>Marine Based Activities</w:t>
            </w:r>
          </w:p>
        </w:tc>
        <w:tc>
          <w:p>
            <w:r>
              <w:t>Greywater</w:t>
            </w:r>
          </w:p>
        </w:tc>
        <w:tc>
          <w:p>
            <w:r>
              <w:t>65m3/day</w:t>
            </w:r>
          </w:p>
        </w:tc>
        <w:tc>
          <w:p>
            <w:r>
              <w:t>Discharge sea/shore if allowed according to Canadian legislation</w:t>
            </w:r>
          </w:p>
        </w:tc>
        <w:tc>
          <w:p>
            <w:r>
              <w:t>Yes, chemicals if allowed according to Canadian legislation</w:t>
            </w:r>
          </w:p>
        </w:tc>
      </w:tr>
      <w:tr>
        <w:tc>
          <w:p>
            <w:r>
              <w:t>Marine Based Activities</w:t>
            </w:r>
          </w:p>
        </w:tc>
        <w:tc>
          <w:p>
            <w:r>
              <w:t>Hazardous waste</w:t>
            </w:r>
          </w:p>
        </w:tc>
        <w:tc>
          <w:p>
            <w:r>
              <w:t>0.1m3/week</w:t>
            </w:r>
          </w:p>
        </w:tc>
        <w:tc>
          <w:p>
            <w:r>
              <w:t>Disposal to shore to a certified reception port</w:t>
            </w:r>
          </w:p>
        </w:tc>
        <w:tc>
          <w:p>
            <w:r>
              <w:t>N/A</w:t>
            </w:r>
          </w:p>
        </w:tc>
      </w:tr>
      <w:tr>
        <w:tc>
          <w:p>
            <w:r>
              <w:t>Marine Based Activities</w:t>
            </w:r>
          </w:p>
        </w:tc>
        <w:tc>
          <w:p>
            <w:r>
              <w:t>Non-Combustible wastes</w:t>
            </w:r>
          </w:p>
        </w:tc>
        <w:tc>
          <w:p>
            <w:r>
              <w:t>2m3/day</w:t>
            </w:r>
          </w:p>
        </w:tc>
        <w:tc>
          <w:p>
            <w:r>
              <w:t>Disposal to shore to a certified reception port</w:t>
            </w:r>
          </w:p>
        </w:tc>
        <w:tc>
          <w:p>
            <w:r>
              <w:t>N/A</w:t>
            </w:r>
          </w:p>
        </w:tc>
      </w:tr>
      <w:tr>
        <w:tc>
          <w:p>
            <w:r>
              <w:t>Tourism Activities</w:t>
            </w:r>
          </w:p>
        </w:tc>
        <w:tc>
          <w:p>
            <w:r>
              <w:t>Other, Waste from shore</w:t>
            </w:r>
          </w:p>
        </w:tc>
        <w:tc>
          <w:p>
            <w:r>
              <w:t>Unknown (likely very little)</w:t>
            </w:r>
          </w:p>
        </w:tc>
        <w:tc>
          <w:p>
            <w:r>
              <w:t>Collected. Disposed with as above (depending upon type).</w:t>
            </w:r>
          </w:p>
        </w:tc>
        <w:tc>
          <w:p>
            <w:r>
              <w:t>N/A</w:t>
            </w:r>
          </w:p>
        </w:tc>
      </w:tr>
      <w:tr>
        <w:tc>
          <w:p>
            <w:r>
              <w:t>Marine Based Activities</w:t>
            </w:r>
          </w:p>
        </w:tc>
        <w:tc>
          <w:p>
            <w:r>
              <w:t>Overburden (organic soil, waste material, tailings)</w:t>
            </w:r>
          </w:p>
        </w:tc>
        <w:tc>
          <w:p>
            <w:r>
              <w:t>N/A</w:t>
            </w:r>
          </w:p>
        </w:tc>
        <w:tc>
          <w:p>
            <w:r>
              <w:t>N/A</w:t>
            </w:r>
          </w:p>
        </w:tc>
        <w:tc>
          <w:p>
            <w:r>
              <w:t>N/A</w:t>
            </w:r>
          </w:p>
        </w:tc>
      </w:tr>
      <w:tr>
        <w:tc>
          <w:p>
            <w:r>
              <w:t>Marine Based Activities</w:t>
            </w:r>
          </w:p>
        </w:tc>
        <w:tc>
          <w:p>
            <w:r>
              <w:t>Sewage (human waste)</w:t>
            </w:r>
          </w:p>
        </w:tc>
        <w:tc>
          <w:p>
            <w:r>
              <w:t>3m3/day</w:t>
            </w:r>
          </w:p>
        </w:tc>
        <w:tc>
          <w:p>
            <w:r>
              <w:t>Discharge sea/shore if allowed according to Canadian legislation</w:t>
            </w:r>
          </w:p>
        </w:tc>
        <w:tc>
          <w:p>
            <w:r>
              <w:t>Yes, chemicals if allowed according to Canadian legislation</w:t>
            </w:r>
          </w:p>
        </w:tc>
      </w:tr>
    </w:tbl>
    <w:p>
      <w:r>
        <w:rPr>
          <w:b w:val="true"/>
          <w:sz w:val="24"/>
        </w:rPr>
        <w:cr/>
        <w:t>Project Water Consumption:</w:t>
      </w: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70</w:t>
            </w:r>
          </w:p>
        </w:tc>
        <w:tc>
          <w:p>
            <w:r>
              <w:t>Reverse Osmosis (RO) Plants</w:t>
            </w:r>
          </w:p>
        </w:tc>
        <w:tc>
          <w:p>
            <w:r>
              <w:t>At Sea/Tanks</w:t>
            </w:r>
          </w:p>
        </w:tc>
      </w:tr>
    </w:tbl>
    <w:p>
      <w:r>
        <w:br w:type="page"/>
      </w:r>
    </w:p>
    <w:p>
      <w:r>
        <w:rPr>
          <w:b w:val="true"/>
          <w:sz w:val="24"/>
        </w:rPr>
        <w:t>PROJECT APPLICATION PART II</w:t>
      </w:r>
    </w:p>
    <w:p>
      <w:r>
        <w:rPr>
          <w:b w:val="true"/>
        </w:rPr>
        <w:t>Project General Information</w:t>
      </w:r>
      <w:br/>
      <w:r>
        <w:t>General information me be found in the attached Project Summary and Environmental Impact Assessment.</w:t>
      </w:r>
      <w:br/>
      <w:r>
        <w:rPr>
          <w:b w:val="true"/>
        </w:rPr>
        <w:t>DFO Operaional Satement Conformity</w:t>
      </w:r>
      <w:br/>
      <w:r>
        <w:t>N/A</w:t>
      </w:r>
      <w:br/>
      <w:r>
        <w:rPr>
          <w:b w:val="true"/>
        </w:rPr>
        <w:t>Transportation</w:t>
      </w:r>
      <w:br/>
      <w:r>
        <w:t>Details on the vessel to be used (MS SILVER EXPLORER) and auxiliary boats have been included in the Material Use section. Additional information may be found in the attached Project Summary and Environmental Impact Assessment.</w:t>
      </w:r>
      <w:br/>
      <w:r>
        <w:rPr>
          <w:b w:val="true"/>
        </w:rPr>
        <w:t>Camp Site</w:t>
      </w:r>
      <w:br/>
      <w:r>
        <w:t>N/A</w:t>
      </w:r>
      <w:br/>
      <w:r>
        <w:rPr>
          <w:b w:val="true"/>
        </w:rPr>
        <w:t>Equipment</w:t>
      </w:r>
      <w:br/>
      <w:r>
        <w:t>Details on the equipment to be used (MS SILVER EXPLORER) and auxiliary boats have been included in the Material Use section. Additional information may be found in the attached Project Summary and Environmental Impact Assessment.</w:t>
      </w:r>
      <w:br/>
      <w:r>
        <w:rPr>
          <w:b w:val="true"/>
        </w:rPr>
        <w:t>Water</w:t>
      </w:r>
      <w:br/>
      <w:r>
        <w:t>Water usage has been entered on the Material Use tab. Additional information may be found in the attached Environmental Impact Assessment.</w:t>
      </w:r>
      <w:br/>
      <w:r>
        <w:rPr>
          <w:b w:val="true"/>
        </w:rPr>
        <w:t>Waste Water (Grey water, Sewage, Other)</w:t>
      </w:r>
      <w:br/>
      <w:r>
        <w:t>Details on Waste Water have been entered on the Waste tab. Additional information may be found in the attached Environmental Impact Assessment.</w:t>
      </w:r>
      <w:br/>
      <w:r>
        <w:rPr>
          <w:b w:val="true"/>
        </w:rPr>
        <w:t>Fuel</w:t>
      </w:r>
      <w:br/>
      <w:r>
        <w:t>Details on Fuel have been entered on the Material Use tab. Additional information may be found in the attached Environmental Impact Assessment.</w:t>
      </w:r>
      <w:br/>
      <w:r>
        <w:rPr>
          <w:b w:val="true"/>
        </w:rPr>
        <w:t>Chemical and Hazardous Material</w:t>
      </w:r>
      <w:br/>
      <w:r>
        <w:t>Details on Hazardous Waste has been entered on the Waste tab. Additional information may be found in the attached Environmental Impact Assessment.</w:t>
      </w:r>
      <w:br/>
      <w:r>
        <w:rPr>
          <w:b w:val="true"/>
        </w:rPr>
        <w:t>Workforce and Human Resources / Socio-Economic Impacts</w:t>
      </w:r>
      <w:br/>
      <w:r>
        <w:t>120 crew members and approx. 13 Expedition staff are being employed to work aboard the vessel. There will be both an economic and a social impact - seen as a positive one -- to the community to be visited (Iqaluit). Pre-arranged services while visiting the Hamlet have been made by a locally-based tour operator (Louis-Philip Pothier, Inukpak Outfitting Inc.).</w:t>
      </w:r>
      <w:br/>
      <w:r>
        <w:rPr>
          <w:b w:val="true"/>
        </w:rPr>
        <w:t>Public Involvement / Traditional Knowledge</w:t>
      </w:r>
      <w:br/>
      <w:r>
        <w:t>Public involvement is a key component to reviewing activities that are being planned within Nunavut and we welcome this aspect of the NIRB Review Process. From what we have learned, we understand that Implementation of Traditional Knowledge and Inuit Qaujimaningit is meant to "encompass local and community based knowledge, ecological knowledge (both traditional and contemporary), which is rooted in the daily life of Inuit people, and has an important contribution to make to an environmental assessment." We welcome the insight and knowledge from government agencies, community leaders/elders, review boards, and the public in assisting us in coordinating our program and ensuring our operation is carried out in a manner that is satisfactory to all.</w:t>
      </w:r>
      <w:br/>
      <w:r>
        <w:rPr>
          <w:b w:val="true"/>
        </w:rPr>
        <w:t>SECTION H: Marine Based Activities: Disposal at Sea</w:t>
      </w:r>
      <w:br/>
      <w:r>
        <w:t>Marine-based activities, including vessel use, will strictly follow Canadian legislation under the Transport Canada Arctic Shipping Regulations including Arctic Waters Pollution Prevention Act and Arctic Shipping Pollution Prevention Regulations (ASPPR) and the Marine Liability Act and Regulations. Transport Canada’s “Guidelines for the Operation of Passenger Vessels in the Canadian Arctic Waters” has been consulted and has provided the framework for setting up the vessel activities. Additional information may be found in the attached Environmental Impact Assessment.</w:t>
      </w:r>
      <w:br/>
      <w:r>
        <w:rPr>
          <w:b w:val="true"/>
        </w:rPr>
        <w:t>Description of Existing Environment: Physical Environment</w:t>
      </w:r>
      <w:br/>
      <w:r>
        <w:t>The project considered the planned activity against Nunavut's physical environment considering that the Arctic environment is fragile and under pressure from climate change and resource development. The following report was used to provide background understanding: "Climate Change, Adaptation Resource Guide, Nunavut's Natural Environment," Government of Nunavut, 2014. Available at: http://climatechangenunavut.ca/sites/default/files/rg5_environment_0.pdf.</w:t>
      </w:r>
      <w:br/>
      <w:r>
        <w:rPr>
          <w:b w:val="true"/>
        </w:rPr>
        <w:t>Description of Existing Environment: Biological Environment</w:t>
      </w:r>
      <w:br/>
      <w:r>
        <w:t>The project considered the planned activity against Nunavut's biological environment considering that the Arctic environment is fragile and under pressure from climate change and resource development. The following report was used to provide background understanding: "Climate Change, Adaptation Resource Guide, Nunavut's Natural Environment," Government of Nunavut, 2014. Available at: http://climatechangenunavut.ca/sites/default/files/rg5_environment_0.pdf.</w:t>
      </w:r>
      <w:br/>
      <w:r>
        <w:rPr>
          <w:b w:val="true"/>
        </w:rPr>
        <w:t>Description of Existing Environment: Socioeconomic Environment</w:t>
      </w:r>
      <w:br/>
      <w:r>
        <w:t>This is unknown to us, however it is recognized that the activity will have both an economic impact and also a social impact on the communities to be visited. Both are perceived to be positive impacts.</w:t>
      </w:r>
      <w:br/>
      <w:r>
        <w:rPr>
          <w:b w:val="true"/>
        </w:rPr>
        <w:t>Identification of Impacts and Proposed Mitigation Measures</w:t>
      </w:r>
      <w:br/>
      <w:r>
        <w:t>Operations have been planned considering an evaluation of environmental aspects of the planned activity to ensure they have no more than a minor or transitory environmental impact. Potential impacts have been considered, as have minimization and mitigation measures. Operations will be in compliance with requirements under Canadian legislation and have been planned to be fully self-sufficient, with activities managed by experienced personnel and to be within the search and rescue capability of the vessel, including for medical evacuation. Additional information may be found in the attached Environmental Impact Assessment.</w:t>
      </w:r>
      <w:br/>
      <w:r>
        <w:rPr>
          <w:b w:val="true"/>
        </w:rPr>
        <w:t>Cumulative Effects</w:t>
      </w:r>
      <w:br/>
      <w:r>
        <w:t>No cumulative effects are anticipated from this activity. This is a voyage is low impact in nature operated by a small expedition cruise ship making one landing plus three Zodiac cruises while in Nunavut waters.</w:t>
      </w:r>
      <w:br/>
    </w:p>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p>
            <w:r>
              <w:t>Marine Based Activities</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r>
      <w:tr>
        <w:tc>
          <w:p>
            <w:r>
              <w:t>Tourism Activities</w:t>
            </w:r>
          </w:p>
        </w:tc>
        <w:tc>
          <w:tcPr>
            <w:tcW w:w="200" w:type="dxa"/>
          </w:tcPr>
          <w:p>
            <w:r>
              <w:t>M</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M</w:t>
            </w:r>
          </w:p>
        </w:tc>
        <w:tc>
          <w:tcPr>
            <w:tcW w:w="200" w:type="dxa"/>
          </w:tcPr>
          <w:p>
            <w:r>
              <w:t>M</w:t>
            </w:r>
          </w:p>
        </w:tc>
        <w:tc>
          <w:tcPr>
            <w:tcW w:w="200" w:type="dxa"/>
          </w:tcPr>
          <w:p>
            <w:r>
              <w:t>M</w:t>
            </w:r>
          </w:p>
        </w:tc>
        <w:tc>
          <w:tcPr>
            <w:tcW w:w="200" w:type="dxa"/>
          </w:tcPr>
          <w:p>
            <w:r>
              <w:t>-</w:t>
            </w:r>
          </w:p>
        </w:tc>
        <w:tc>
          <w:tcPr>
            <w:tcW w:w="200" w:type="dxa"/>
          </w:tcPr>
          <w:p>
            <w:r>
              <w:t>M</w:t>
            </w:r>
          </w:p>
        </w:tc>
        <w:tc>
          <w:tcPr>
            <w:tcW w:w="200" w:type="dxa"/>
          </w:tcPr>
          <w:p>
            <w:r>
              <w:t>P</w:t>
            </w:r>
          </w:p>
        </w:tc>
        <w:tc>
          <w:tcPr>
            <w:tcW w:w="200" w:type="dxa"/>
          </w:tcPr>
          <w:p>
            <w:r>
              <w:t>-</w:t>
            </w:r>
          </w:p>
        </w:tc>
        <w:tc>
          <w:tcPr>
            <w:tcW w:w="200" w:type="dxa"/>
          </w:tcPr>
          <w:p>
            <w:r>
              <w:t>-</w:t>
            </w:r>
          </w:p>
        </w:tc>
        <w:tc>
          <w:tcPr>
            <w:tcW w:w="200" w:type="dxa"/>
          </w:tcPr>
          <w:p>
            <w:r>
              <w:t>-</w:t>
            </w:r>
          </w:p>
        </w:tc>
        <w:tc>
          <w:tcPr>
            <w:tcW w:w="200" w:type="dxa"/>
          </w:tcPr>
          <w:p>
            <w:r>
              <w:t>-</w:t>
            </w:r>
          </w:p>
        </w:tc>
      </w:tr>
      <w:tr>
        <w:tc>
          <w:tcPr>
            <w:gridSpan w:val="23"/>
          </w:tcPr>
          <w:p>
            <w:r>
              <w:rPr>
                <w:b w:val="true"/>
              </w:rPr>
              <w:t>DECOMMISSIONING</w:t>
            </w:r>
          </w:p>
        </w:tc>
      </w:tr>
    </w:tbl>
  </w:body>
</w:document>
</file>