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7082" w:rsidRDefault="00637082" w:rsidP="00637082">
      <w:pPr>
        <w:pStyle w:val="Default"/>
        <w:rPr>
          <w:sz w:val="23"/>
          <w:szCs w:val="23"/>
        </w:rPr>
      </w:pPr>
      <w:r>
        <w:rPr>
          <w:b/>
          <w:bCs/>
          <w:sz w:val="23"/>
          <w:szCs w:val="23"/>
        </w:rPr>
        <w:t xml:space="preserve">Appendix A: Information Request # 1 </w:t>
      </w:r>
    </w:p>
    <w:p w:rsidR="00637082" w:rsidRDefault="00637082" w:rsidP="00637082">
      <w:pPr>
        <w:pStyle w:val="Default"/>
        <w:rPr>
          <w:sz w:val="23"/>
          <w:szCs w:val="23"/>
        </w:rPr>
      </w:pPr>
      <w:proofErr w:type="gramStart"/>
      <w:r>
        <w:rPr>
          <w:b/>
          <w:bCs/>
          <w:sz w:val="23"/>
          <w:szCs w:val="23"/>
        </w:rPr>
        <w:t>for</w:t>
      </w:r>
      <w:proofErr w:type="gramEnd"/>
      <w:r>
        <w:rPr>
          <w:b/>
          <w:bCs/>
          <w:sz w:val="23"/>
          <w:szCs w:val="23"/>
        </w:rPr>
        <w:t xml:space="preserve"> DND’s “Operation </w:t>
      </w:r>
      <w:proofErr w:type="spellStart"/>
      <w:r>
        <w:rPr>
          <w:b/>
          <w:bCs/>
          <w:sz w:val="23"/>
          <w:szCs w:val="23"/>
        </w:rPr>
        <w:t>Nanook-Nunalivut</w:t>
      </w:r>
      <w:proofErr w:type="spellEnd"/>
      <w:r>
        <w:rPr>
          <w:b/>
          <w:bCs/>
          <w:sz w:val="23"/>
          <w:szCs w:val="23"/>
        </w:rPr>
        <w:t xml:space="preserve"> 2020” </w:t>
      </w:r>
    </w:p>
    <w:p w:rsidR="00637082" w:rsidRDefault="00637082" w:rsidP="00637082">
      <w:pPr>
        <w:pStyle w:val="Default"/>
        <w:rPr>
          <w:sz w:val="23"/>
          <w:szCs w:val="23"/>
        </w:rPr>
      </w:pPr>
      <w:proofErr w:type="gramStart"/>
      <w:r>
        <w:rPr>
          <w:b/>
          <w:bCs/>
          <w:sz w:val="23"/>
          <w:szCs w:val="23"/>
        </w:rPr>
        <w:t>pursuant</w:t>
      </w:r>
      <w:proofErr w:type="gramEnd"/>
      <w:r>
        <w:rPr>
          <w:b/>
          <w:bCs/>
          <w:sz w:val="23"/>
          <w:szCs w:val="23"/>
        </w:rPr>
        <w:t xml:space="preserve"> to s. 144(1) of the </w:t>
      </w:r>
      <w:r>
        <w:rPr>
          <w:b/>
          <w:bCs/>
          <w:i/>
          <w:iCs/>
          <w:sz w:val="23"/>
          <w:szCs w:val="23"/>
        </w:rPr>
        <w:t xml:space="preserve">Nunavut Planning and Project Assessment Act </w:t>
      </w:r>
    </w:p>
    <w:p w:rsidR="00637082" w:rsidRDefault="00637082" w:rsidP="00637082">
      <w:pPr>
        <w:pStyle w:val="Default"/>
        <w:rPr>
          <w:sz w:val="23"/>
          <w:szCs w:val="23"/>
        </w:rPr>
      </w:pPr>
      <w:r>
        <w:rPr>
          <w:b/>
          <w:bCs/>
          <w:sz w:val="23"/>
          <w:szCs w:val="23"/>
        </w:rPr>
        <w:t xml:space="preserve">NIRB File No. 19DN049 </w:t>
      </w:r>
    </w:p>
    <w:p w:rsidR="00637082" w:rsidRDefault="00637082" w:rsidP="00637082">
      <w:pPr>
        <w:pStyle w:val="Default"/>
        <w:rPr>
          <w:sz w:val="23"/>
          <w:szCs w:val="23"/>
        </w:rPr>
      </w:pPr>
      <w:r>
        <w:rPr>
          <w:b/>
          <w:bCs/>
          <w:sz w:val="23"/>
          <w:szCs w:val="23"/>
        </w:rPr>
        <w:t xml:space="preserve">1. </w:t>
      </w:r>
      <w:r>
        <w:rPr>
          <w:b/>
          <w:bCs/>
          <w:i/>
          <w:iCs/>
          <w:sz w:val="23"/>
          <w:szCs w:val="23"/>
        </w:rPr>
        <w:t>T</w:t>
      </w:r>
      <w:r>
        <w:rPr>
          <w:b/>
          <w:bCs/>
          <w:i/>
          <w:iCs/>
          <w:sz w:val="19"/>
          <w:szCs w:val="19"/>
        </w:rPr>
        <w:t>OPIC</w:t>
      </w:r>
      <w:r>
        <w:rPr>
          <w:b/>
          <w:bCs/>
          <w:i/>
          <w:iCs/>
          <w:sz w:val="23"/>
          <w:szCs w:val="23"/>
        </w:rPr>
        <w:t>/I</w:t>
      </w:r>
      <w:r>
        <w:rPr>
          <w:b/>
          <w:bCs/>
          <w:i/>
          <w:iCs/>
          <w:sz w:val="19"/>
          <w:szCs w:val="19"/>
        </w:rPr>
        <w:t>SSUE</w:t>
      </w:r>
      <w:r>
        <w:rPr>
          <w:b/>
          <w:bCs/>
          <w:i/>
          <w:iCs/>
          <w:sz w:val="23"/>
          <w:szCs w:val="23"/>
        </w:rPr>
        <w:t xml:space="preserve">: </w:t>
      </w:r>
      <w:r>
        <w:rPr>
          <w:b/>
          <w:bCs/>
          <w:sz w:val="23"/>
          <w:szCs w:val="23"/>
        </w:rPr>
        <w:t xml:space="preserve">NIRB’s Online Application Form </w:t>
      </w:r>
    </w:p>
    <w:p w:rsidR="00637082" w:rsidRDefault="00637082" w:rsidP="00637082">
      <w:pPr>
        <w:pStyle w:val="Default"/>
        <w:rPr>
          <w:sz w:val="23"/>
          <w:szCs w:val="23"/>
        </w:rPr>
      </w:pPr>
    </w:p>
    <w:p w:rsidR="00637082" w:rsidRDefault="00637082" w:rsidP="00637082">
      <w:pPr>
        <w:pStyle w:val="Default"/>
        <w:rPr>
          <w:sz w:val="23"/>
          <w:szCs w:val="23"/>
        </w:rPr>
      </w:pPr>
      <w:r>
        <w:rPr>
          <w:b/>
          <w:bCs/>
          <w:i/>
          <w:iCs/>
          <w:sz w:val="23"/>
          <w:szCs w:val="23"/>
        </w:rPr>
        <w:t>R</w:t>
      </w:r>
      <w:r>
        <w:rPr>
          <w:b/>
          <w:bCs/>
          <w:i/>
          <w:iCs/>
          <w:sz w:val="19"/>
          <w:szCs w:val="19"/>
        </w:rPr>
        <w:t>EFERENCE</w:t>
      </w:r>
      <w:r>
        <w:rPr>
          <w:b/>
          <w:bCs/>
          <w:i/>
          <w:iCs/>
          <w:sz w:val="23"/>
          <w:szCs w:val="23"/>
        </w:rPr>
        <w:t xml:space="preserve">: </w:t>
      </w:r>
      <w:r>
        <w:rPr>
          <w:i/>
          <w:iCs/>
          <w:sz w:val="23"/>
          <w:szCs w:val="23"/>
        </w:rPr>
        <w:t>Proponent’s Guide (2018)</w:t>
      </w:r>
      <w:r>
        <w:rPr>
          <w:i/>
          <w:iCs/>
          <w:sz w:val="16"/>
          <w:szCs w:val="16"/>
        </w:rPr>
        <w:t>1</w:t>
      </w:r>
      <w:r>
        <w:rPr>
          <w:i/>
          <w:iCs/>
          <w:sz w:val="23"/>
          <w:szCs w:val="23"/>
        </w:rPr>
        <w:t xml:space="preserve">: </w:t>
      </w:r>
      <w:r>
        <w:rPr>
          <w:sz w:val="23"/>
          <w:szCs w:val="23"/>
        </w:rPr>
        <w:t xml:space="preserve">Guide to Filing of Project Proposals and Screening Process </w:t>
      </w:r>
    </w:p>
    <w:p w:rsidR="00637082" w:rsidRDefault="00637082" w:rsidP="00637082">
      <w:pPr>
        <w:pStyle w:val="Default"/>
        <w:rPr>
          <w:sz w:val="23"/>
          <w:szCs w:val="23"/>
        </w:rPr>
      </w:pPr>
      <w:r>
        <w:rPr>
          <w:sz w:val="20"/>
          <w:szCs w:val="20"/>
        </w:rPr>
        <w:t xml:space="preserve">1 http://www.nirb.ca/guides </w:t>
      </w:r>
    </w:p>
    <w:p w:rsidR="00637082" w:rsidRDefault="00637082" w:rsidP="00637082">
      <w:pPr>
        <w:pStyle w:val="Default"/>
        <w:rPr>
          <w:sz w:val="23"/>
          <w:szCs w:val="23"/>
        </w:rPr>
      </w:pPr>
      <w:r>
        <w:rPr>
          <w:b/>
          <w:bCs/>
          <w:i/>
          <w:iCs/>
          <w:sz w:val="23"/>
          <w:szCs w:val="23"/>
        </w:rPr>
        <w:t>R</w:t>
      </w:r>
      <w:r>
        <w:rPr>
          <w:b/>
          <w:bCs/>
          <w:i/>
          <w:iCs/>
          <w:sz w:val="19"/>
          <w:szCs w:val="19"/>
        </w:rPr>
        <w:t>ATIONALE</w:t>
      </w:r>
      <w:r>
        <w:rPr>
          <w:b/>
          <w:bCs/>
          <w:i/>
          <w:iCs/>
          <w:sz w:val="23"/>
          <w:szCs w:val="23"/>
        </w:rPr>
        <w:t xml:space="preserve">: </w:t>
      </w:r>
      <w:r>
        <w:rPr>
          <w:sz w:val="23"/>
          <w:szCs w:val="23"/>
        </w:rPr>
        <w:t xml:space="preserve">The NIRB requires the Proponent to complete the online application form in order to determine the scope of the project activities being proposed and to ensure sufficient information has been provided to commence screening. The NIRB will no longer accept applications or supporting documents via e-mail or regular mail. </w:t>
      </w:r>
    </w:p>
    <w:p w:rsidR="00637082" w:rsidRDefault="00637082" w:rsidP="00637082">
      <w:pPr>
        <w:pStyle w:val="Default"/>
        <w:rPr>
          <w:sz w:val="23"/>
          <w:szCs w:val="23"/>
        </w:rPr>
      </w:pPr>
      <w:r>
        <w:rPr>
          <w:b/>
          <w:bCs/>
          <w:i/>
          <w:iCs/>
          <w:sz w:val="23"/>
          <w:szCs w:val="23"/>
        </w:rPr>
        <w:t>R</w:t>
      </w:r>
      <w:r>
        <w:rPr>
          <w:b/>
          <w:bCs/>
          <w:i/>
          <w:iCs/>
          <w:sz w:val="19"/>
          <w:szCs w:val="19"/>
        </w:rPr>
        <w:t>EQUEST</w:t>
      </w:r>
      <w:r>
        <w:rPr>
          <w:b/>
          <w:bCs/>
          <w:i/>
          <w:iCs/>
          <w:sz w:val="23"/>
          <w:szCs w:val="23"/>
        </w:rPr>
        <w:t xml:space="preserve">: </w:t>
      </w:r>
      <w:r>
        <w:rPr>
          <w:sz w:val="23"/>
          <w:szCs w:val="23"/>
        </w:rPr>
        <w:t xml:space="preserve">Complete the NIRB’s online application form at www.nirb.ca, pursuant to the NIRB’s project application requirements including the following sections: </w:t>
      </w:r>
    </w:p>
    <w:p w:rsidR="00637082" w:rsidRDefault="00637082" w:rsidP="00637082">
      <w:pPr>
        <w:pStyle w:val="Default"/>
        <w:rPr>
          <w:sz w:val="23"/>
          <w:szCs w:val="23"/>
        </w:rPr>
      </w:pPr>
      <w:r>
        <w:rPr>
          <w:rFonts w:ascii="Wingdings" w:hAnsi="Wingdings" w:cs="Wingdings"/>
          <w:sz w:val="23"/>
          <w:szCs w:val="23"/>
        </w:rPr>
        <w:t></w:t>
      </w:r>
      <w:r>
        <w:rPr>
          <w:rFonts w:ascii="Wingdings" w:hAnsi="Wingdings" w:cs="Wingdings"/>
          <w:sz w:val="23"/>
          <w:szCs w:val="23"/>
        </w:rPr>
        <w:t></w:t>
      </w:r>
      <w:r>
        <w:rPr>
          <w:i/>
          <w:iCs/>
          <w:sz w:val="23"/>
          <w:szCs w:val="23"/>
        </w:rPr>
        <w:t xml:space="preserve">Consultation </w:t>
      </w:r>
      <w:r>
        <w:rPr>
          <w:rFonts w:ascii="Courier New" w:hAnsi="Courier New" w:cs="Courier New"/>
          <w:sz w:val="23"/>
          <w:szCs w:val="23"/>
        </w:rPr>
        <w:t xml:space="preserve">o </w:t>
      </w:r>
      <w:proofErr w:type="gramStart"/>
      <w:r>
        <w:rPr>
          <w:sz w:val="23"/>
          <w:szCs w:val="23"/>
        </w:rPr>
        <w:t>While</w:t>
      </w:r>
      <w:proofErr w:type="gramEnd"/>
      <w:r>
        <w:rPr>
          <w:sz w:val="23"/>
          <w:szCs w:val="23"/>
        </w:rPr>
        <w:t xml:space="preserve"> it was noted in the application that representatives met with the Municipality of Rankin Inlet, there are no details provided of the concerns expressed or resolutions met. Additionally, no details were provided on whether other groups in Rankin Inlet were consulted (e.g., Hunters and Trappers Organization, </w:t>
      </w:r>
      <w:proofErr w:type="spellStart"/>
      <w:r>
        <w:rPr>
          <w:sz w:val="23"/>
          <w:szCs w:val="23"/>
        </w:rPr>
        <w:t>Kivalliq</w:t>
      </w:r>
      <w:proofErr w:type="spellEnd"/>
      <w:r>
        <w:rPr>
          <w:sz w:val="23"/>
          <w:szCs w:val="23"/>
        </w:rPr>
        <w:t xml:space="preserve"> Inuit Association). This tab needs to be completed and any supporting documentation attached. </w:t>
      </w:r>
    </w:p>
    <w:p w:rsidR="00637082" w:rsidRPr="00637082" w:rsidRDefault="00637082" w:rsidP="00637082">
      <w:pPr>
        <w:rPr>
          <w:b/>
          <w:color w:val="31849B" w:themeColor="accent5" w:themeShade="BF"/>
          <w:lang w:eastAsia="en-US"/>
        </w:rPr>
      </w:pPr>
      <w:r w:rsidRPr="00637082">
        <w:rPr>
          <w:b/>
          <w:color w:val="31849B" w:themeColor="accent5" w:themeShade="BF"/>
        </w:rPr>
        <w:t>M</w:t>
      </w:r>
      <w:r w:rsidRPr="00637082">
        <w:rPr>
          <w:b/>
          <w:color w:val="31849B" w:themeColor="accent5" w:themeShade="BF"/>
          <w:lang w:eastAsia="en-US"/>
        </w:rPr>
        <w:t xml:space="preserve">et with officials from the municipal office (Mayor and Town Manager) to discuss considerations for Op </w:t>
      </w:r>
      <w:proofErr w:type="spellStart"/>
      <w:r w:rsidRPr="00637082">
        <w:rPr>
          <w:b/>
          <w:color w:val="31849B" w:themeColor="accent5" w:themeShade="BF"/>
          <w:lang w:eastAsia="en-US"/>
        </w:rPr>
        <w:t>Nanu</w:t>
      </w:r>
      <w:proofErr w:type="spellEnd"/>
      <w:r w:rsidRPr="00637082">
        <w:rPr>
          <w:b/>
          <w:color w:val="31849B" w:themeColor="accent5" w:themeShade="BF"/>
        </w:rPr>
        <w:t xml:space="preserve"> 2020.  </w:t>
      </w:r>
      <w:r w:rsidRPr="00637082">
        <w:rPr>
          <w:b/>
          <w:color w:val="31849B" w:themeColor="accent5" w:themeShade="BF"/>
          <w:lang w:eastAsia="en-US"/>
        </w:rPr>
        <w:t>They indicated that if the NIRB were to grant approval for the explosives range they would be satisfied with the vetting process and foresee no issues from pu</w:t>
      </w:r>
      <w:r w:rsidRPr="00637082">
        <w:rPr>
          <w:b/>
          <w:color w:val="31849B" w:themeColor="accent5" w:themeShade="BF"/>
          <w:lang w:eastAsia="en-US"/>
        </w:rPr>
        <w:t>rely a municipal standpoint.  Agreed to</w:t>
      </w:r>
      <w:r w:rsidRPr="00637082">
        <w:rPr>
          <w:b/>
          <w:color w:val="31849B" w:themeColor="accent5" w:themeShade="BF"/>
          <w:lang w:eastAsia="en-US"/>
        </w:rPr>
        <w:t xml:space="preserve"> strive to keep the municipal office informed of any progress. </w:t>
      </w:r>
    </w:p>
    <w:p w:rsidR="00637082" w:rsidRPr="00637082" w:rsidRDefault="00637082" w:rsidP="00637082">
      <w:pPr>
        <w:pStyle w:val="Default"/>
        <w:rPr>
          <w:rFonts w:ascii="Calibri" w:hAnsi="Calibri" w:cs="Calibri"/>
          <w:b/>
          <w:color w:val="31849B" w:themeColor="accent5" w:themeShade="BF"/>
          <w:sz w:val="22"/>
          <w:szCs w:val="22"/>
        </w:rPr>
      </w:pPr>
      <w:r w:rsidRPr="00637082">
        <w:rPr>
          <w:rFonts w:ascii="Calibri" w:hAnsi="Calibri" w:cs="Calibri"/>
          <w:b/>
          <w:color w:val="31849B" w:themeColor="accent5" w:themeShade="BF"/>
          <w:sz w:val="22"/>
          <w:szCs w:val="22"/>
        </w:rPr>
        <w:t xml:space="preserve">The hunters and trappers and </w:t>
      </w:r>
      <w:proofErr w:type="spellStart"/>
      <w:r w:rsidRPr="00637082">
        <w:rPr>
          <w:rFonts w:ascii="Calibri" w:hAnsi="Calibri" w:cs="Calibri"/>
          <w:b/>
          <w:color w:val="31849B" w:themeColor="accent5" w:themeShade="BF"/>
          <w:sz w:val="22"/>
          <w:szCs w:val="22"/>
        </w:rPr>
        <w:t>Kivalliq</w:t>
      </w:r>
      <w:proofErr w:type="spellEnd"/>
      <w:r w:rsidRPr="00637082">
        <w:rPr>
          <w:rFonts w:ascii="Calibri" w:hAnsi="Calibri" w:cs="Calibri"/>
          <w:b/>
          <w:color w:val="31849B" w:themeColor="accent5" w:themeShade="BF"/>
          <w:sz w:val="22"/>
          <w:szCs w:val="22"/>
        </w:rPr>
        <w:t xml:space="preserve"> Inuit Association were not consulted.</w:t>
      </w:r>
    </w:p>
    <w:p w:rsidR="00637082" w:rsidRPr="00637082" w:rsidRDefault="00637082" w:rsidP="00637082">
      <w:pPr>
        <w:pStyle w:val="Default"/>
        <w:rPr>
          <w:color w:val="1F497D" w:themeColor="text2"/>
          <w:sz w:val="23"/>
          <w:szCs w:val="23"/>
        </w:rPr>
      </w:pPr>
    </w:p>
    <w:p w:rsidR="00637082" w:rsidRDefault="00637082" w:rsidP="00637082">
      <w:pPr>
        <w:pStyle w:val="Default"/>
        <w:rPr>
          <w:sz w:val="23"/>
          <w:szCs w:val="23"/>
        </w:rPr>
      </w:pPr>
    </w:p>
    <w:p w:rsidR="00637082" w:rsidRDefault="00637082" w:rsidP="00637082">
      <w:pPr>
        <w:pStyle w:val="Default"/>
        <w:rPr>
          <w:sz w:val="23"/>
          <w:szCs w:val="23"/>
        </w:rPr>
      </w:pPr>
      <w:r>
        <w:rPr>
          <w:rFonts w:ascii="Wingdings" w:hAnsi="Wingdings" w:cs="Wingdings"/>
          <w:sz w:val="23"/>
          <w:szCs w:val="23"/>
        </w:rPr>
        <w:t></w:t>
      </w:r>
      <w:r>
        <w:rPr>
          <w:rFonts w:ascii="Wingdings" w:hAnsi="Wingdings" w:cs="Wingdings"/>
          <w:sz w:val="23"/>
          <w:szCs w:val="23"/>
        </w:rPr>
        <w:t></w:t>
      </w:r>
      <w:r>
        <w:rPr>
          <w:i/>
          <w:iCs/>
          <w:sz w:val="23"/>
          <w:szCs w:val="23"/>
        </w:rPr>
        <w:t xml:space="preserve">Regulatory Authority </w:t>
      </w:r>
      <w:r>
        <w:rPr>
          <w:rFonts w:ascii="Courier New" w:hAnsi="Courier New" w:cs="Courier New"/>
          <w:sz w:val="23"/>
          <w:szCs w:val="23"/>
        </w:rPr>
        <w:t xml:space="preserve">o </w:t>
      </w:r>
      <w:proofErr w:type="gramStart"/>
      <w:r>
        <w:rPr>
          <w:sz w:val="23"/>
          <w:szCs w:val="23"/>
        </w:rPr>
        <w:t>This</w:t>
      </w:r>
      <w:proofErr w:type="gramEnd"/>
      <w:r>
        <w:rPr>
          <w:sz w:val="23"/>
          <w:szCs w:val="23"/>
        </w:rPr>
        <w:t xml:space="preserve"> section needs to be completed as to which regulatory authority provides the permits, licences or authorizations for this project proposal. Would a permit/authorization be required from Fisheries and Oceans Canada for the explosive use in the marine environment? What other permits will be required? </w:t>
      </w:r>
    </w:p>
    <w:p w:rsidR="00637082" w:rsidRPr="00637082" w:rsidRDefault="00637082" w:rsidP="00637082">
      <w:pPr>
        <w:pStyle w:val="Default"/>
        <w:rPr>
          <w:rFonts w:asciiTheme="minorHAnsi" w:hAnsiTheme="minorHAnsi" w:cstheme="minorHAnsi"/>
          <w:b/>
          <w:color w:val="31849B" w:themeColor="accent5" w:themeShade="BF"/>
          <w:sz w:val="22"/>
          <w:szCs w:val="22"/>
        </w:rPr>
      </w:pPr>
      <w:r w:rsidRPr="00637082">
        <w:rPr>
          <w:rFonts w:asciiTheme="minorHAnsi" w:hAnsiTheme="minorHAnsi" w:cstheme="minorHAnsi"/>
          <w:b/>
          <w:color w:val="31849B" w:themeColor="accent5" w:themeShade="BF"/>
          <w:sz w:val="22"/>
          <w:szCs w:val="22"/>
        </w:rPr>
        <w:t>Pending on NIRB’s assessment, further notifications may need to be sent out.  No other permits required for other portions of the operation.</w:t>
      </w:r>
    </w:p>
    <w:p w:rsidR="00637082" w:rsidRDefault="00637082" w:rsidP="00637082">
      <w:pPr>
        <w:pStyle w:val="Default"/>
        <w:rPr>
          <w:sz w:val="23"/>
          <w:szCs w:val="23"/>
        </w:rPr>
      </w:pPr>
    </w:p>
    <w:p w:rsidR="00637082" w:rsidRDefault="00637082" w:rsidP="00637082">
      <w:pPr>
        <w:pStyle w:val="Default"/>
        <w:rPr>
          <w:i/>
          <w:iCs/>
          <w:sz w:val="23"/>
          <w:szCs w:val="23"/>
        </w:rPr>
      </w:pPr>
      <w:r>
        <w:rPr>
          <w:rFonts w:ascii="Wingdings" w:hAnsi="Wingdings" w:cs="Wingdings"/>
          <w:sz w:val="23"/>
          <w:szCs w:val="23"/>
        </w:rPr>
        <w:t></w:t>
      </w:r>
      <w:r>
        <w:rPr>
          <w:rFonts w:ascii="Wingdings" w:hAnsi="Wingdings" w:cs="Wingdings"/>
          <w:sz w:val="23"/>
          <w:szCs w:val="23"/>
        </w:rPr>
        <w:t></w:t>
      </w:r>
      <w:r>
        <w:rPr>
          <w:i/>
          <w:iCs/>
          <w:sz w:val="23"/>
          <w:szCs w:val="23"/>
        </w:rPr>
        <w:t xml:space="preserve">Fuel </w:t>
      </w:r>
      <w:r>
        <w:rPr>
          <w:rFonts w:ascii="Courier New" w:hAnsi="Courier New" w:cs="Courier New"/>
          <w:sz w:val="23"/>
          <w:szCs w:val="23"/>
        </w:rPr>
        <w:t xml:space="preserve">o </w:t>
      </w:r>
      <w:r>
        <w:rPr>
          <w:sz w:val="23"/>
          <w:szCs w:val="23"/>
        </w:rPr>
        <w:t>Fuel Use is noted in the Project description and that there will be up to 12,000 litres fuel caches in place. Please complete this tab in the application to describe types and amounts of fuel expected to be used for the project proposal</w:t>
      </w:r>
      <w:r>
        <w:rPr>
          <w:i/>
          <w:iCs/>
          <w:sz w:val="23"/>
          <w:szCs w:val="23"/>
        </w:rPr>
        <w:t xml:space="preserve">. </w:t>
      </w:r>
    </w:p>
    <w:p w:rsidR="00637082" w:rsidRPr="00637082" w:rsidRDefault="00637082" w:rsidP="00637082">
      <w:pPr>
        <w:pStyle w:val="Default"/>
        <w:rPr>
          <w:rFonts w:ascii="Calibri" w:hAnsi="Calibri" w:cs="Calibri"/>
          <w:b/>
          <w:color w:val="31849B" w:themeColor="accent5" w:themeShade="BF"/>
          <w:sz w:val="22"/>
          <w:szCs w:val="22"/>
        </w:rPr>
      </w:pPr>
      <w:r w:rsidRPr="00637082">
        <w:rPr>
          <w:rFonts w:ascii="Calibri" w:hAnsi="Calibri" w:cs="Calibri"/>
          <w:b/>
          <w:color w:val="31849B" w:themeColor="accent5" w:themeShade="BF"/>
          <w:sz w:val="22"/>
          <w:szCs w:val="22"/>
        </w:rPr>
        <w:t xml:space="preserve">No fuel cache will be </w:t>
      </w:r>
      <w:r w:rsidRPr="00637082">
        <w:rPr>
          <w:rFonts w:ascii="Calibri" w:hAnsi="Calibri" w:cs="Calibri"/>
          <w:b/>
          <w:color w:val="31849B" w:themeColor="accent5" w:themeShade="BF"/>
          <w:sz w:val="22"/>
          <w:szCs w:val="22"/>
        </w:rPr>
        <w:t>required in Rankin Inlet</w:t>
      </w:r>
      <w:r w:rsidRPr="00637082">
        <w:rPr>
          <w:rFonts w:ascii="Calibri" w:hAnsi="Calibri" w:cs="Calibri"/>
          <w:b/>
          <w:color w:val="31849B" w:themeColor="accent5" w:themeShade="BF"/>
          <w:sz w:val="22"/>
          <w:szCs w:val="22"/>
        </w:rPr>
        <w:t>. In R</w:t>
      </w:r>
      <w:r w:rsidRPr="00637082">
        <w:rPr>
          <w:rFonts w:ascii="Calibri" w:hAnsi="Calibri" w:cs="Calibri"/>
          <w:b/>
          <w:color w:val="31849B" w:themeColor="accent5" w:themeShade="BF"/>
          <w:sz w:val="22"/>
          <w:szCs w:val="22"/>
        </w:rPr>
        <w:t xml:space="preserve">esolute Bay </w:t>
      </w:r>
      <w:r w:rsidRPr="00637082">
        <w:rPr>
          <w:rFonts w:ascii="Calibri" w:hAnsi="Calibri" w:cs="Calibri"/>
          <w:b/>
          <w:color w:val="31849B" w:themeColor="accent5" w:themeShade="BF"/>
          <w:sz w:val="22"/>
          <w:szCs w:val="22"/>
        </w:rPr>
        <w:t xml:space="preserve">fuel caches </w:t>
      </w:r>
      <w:r w:rsidRPr="00637082">
        <w:rPr>
          <w:rFonts w:ascii="Calibri" w:hAnsi="Calibri" w:cs="Calibri"/>
          <w:b/>
          <w:color w:val="31849B" w:themeColor="accent5" w:themeShade="BF"/>
          <w:sz w:val="22"/>
          <w:szCs w:val="22"/>
        </w:rPr>
        <w:t xml:space="preserve">will need to be replaced </w:t>
      </w:r>
      <w:r w:rsidRPr="00637082">
        <w:rPr>
          <w:rFonts w:ascii="Calibri" w:hAnsi="Calibri" w:cs="Calibri"/>
          <w:b/>
          <w:color w:val="31849B" w:themeColor="accent5" w:themeShade="BF"/>
          <w:sz w:val="22"/>
          <w:szCs w:val="22"/>
        </w:rPr>
        <w:t>when they travel to Polaris mine but all fuel caches will be under 4000L.</w:t>
      </w:r>
    </w:p>
    <w:p w:rsidR="00637082" w:rsidRPr="00637082" w:rsidRDefault="00637082" w:rsidP="00637082">
      <w:pPr>
        <w:pStyle w:val="Default"/>
        <w:rPr>
          <w:rFonts w:ascii="Calibri" w:hAnsi="Calibri" w:cs="Calibri"/>
          <w:b/>
          <w:color w:val="31849B" w:themeColor="accent5" w:themeShade="BF"/>
          <w:sz w:val="22"/>
          <w:szCs w:val="22"/>
        </w:rPr>
      </w:pPr>
      <w:r w:rsidRPr="00637082">
        <w:rPr>
          <w:rFonts w:ascii="Calibri" w:hAnsi="Calibri" w:cs="Calibri"/>
          <w:b/>
          <w:color w:val="31849B" w:themeColor="accent5" w:themeShade="BF"/>
          <w:sz w:val="22"/>
          <w:szCs w:val="22"/>
        </w:rPr>
        <w:t>There will be no fuel required for the explosive</w:t>
      </w:r>
      <w:r w:rsidRPr="00637082">
        <w:rPr>
          <w:rFonts w:ascii="Calibri" w:hAnsi="Calibri" w:cs="Calibri"/>
          <w:b/>
          <w:color w:val="31849B" w:themeColor="accent5" w:themeShade="BF"/>
          <w:sz w:val="22"/>
          <w:szCs w:val="22"/>
        </w:rPr>
        <w:t>s</w:t>
      </w:r>
      <w:r w:rsidRPr="00637082">
        <w:rPr>
          <w:rFonts w:ascii="Calibri" w:hAnsi="Calibri" w:cs="Calibri"/>
          <w:b/>
          <w:color w:val="31849B" w:themeColor="accent5" w:themeShade="BF"/>
          <w:sz w:val="22"/>
          <w:szCs w:val="22"/>
        </w:rPr>
        <w:t xml:space="preserve"> activity</w:t>
      </w:r>
      <w:r w:rsidRPr="00637082">
        <w:rPr>
          <w:rFonts w:ascii="Calibri" w:hAnsi="Calibri" w:cs="Calibri"/>
          <w:b/>
          <w:color w:val="31849B" w:themeColor="accent5" w:themeShade="BF"/>
          <w:sz w:val="22"/>
          <w:szCs w:val="22"/>
        </w:rPr>
        <w:t xml:space="preserve"> </w:t>
      </w:r>
      <w:r>
        <w:rPr>
          <w:rFonts w:ascii="Calibri" w:hAnsi="Calibri" w:cs="Calibri"/>
          <w:b/>
          <w:color w:val="31849B" w:themeColor="accent5" w:themeShade="BF"/>
          <w:sz w:val="22"/>
          <w:szCs w:val="22"/>
        </w:rPr>
        <w:t xml:space="preserve">portion that is currently subject to </w:t>
      </w:r>
      <w:r w:rsidRPr="00637082">
        <w:rPr>
          <w:rFonts w:ascii="Calibri" w:hAnsi="Calibri" w:cs="Calibri"/>
          <w:b/>
          <w:color w:val="31849B" w:themeColor="accent5" w:themeShade="BF"/>
          <w:sz w:val="22"/>
          <w:szCs w:val="22"/>
        </w:rPr>
        <w:t>NIRB asses</w:t>
      </w:r>
      <w:r>
        <w:rPr>
          <w:rFonts w:ascii="Calibri" w:hAnsi="Calibri" w:cs="Calibri"/>
          <w:b/>
          <w:color w:val="31849B" w:themeColor="accent5" w:themeShade="BF"/>
          <w:sz w:val="22"/>
          <w:szCs w:val="22"/>
        </w:rPr>
        <w:t>s</w:t>
      </w:r>
      <w:r w:rsidRPr="00637082">
        <w:rPr>
          <w:rFonts w:ascii="Calibri" w:hAnsi="Calibri" w:cs="Calibri"/>
          <w:b/>
          <w:color w:val="31849B" w:themeColor="accent5" w:themeShade="BF"/>
          <w:sz w:val="22"/>
          <w:szCs w:val="22"/>
        </w:rPr>
        <w:t>ment</w:t>
      </w:r>
      <w:r w:rsidRPr="00637082">
        <w:rPr>
          <w:rFonts w:ascii="Calibri" w:hAnsi="Calibri" w:cs="Calibri"/>
          <w:b/>
          <w:color w:val="31849B" w:themeColor="accent5" w:themeShade="BF"/>
          <w:sz w:val="22"/>
          <w:szCs w:val="22"/>
        </w:rPr>
        <w:t>.</w:t>
      </w:r>
    </w:p>
    <w:p w:rsidR="00637082" w:rsidRDefault="00637082" w:rsidP="00637082">
      <w:pPr>
        <w:pStyle w:val="Default"/>
        <w:rPr>
          <w:sz w:val="23"/>
          <w:szCs w:val="23"/>
        </w:rPr>
      </w:pPr>
    </w:p>
    <w:p w:rsidR="00637082" w:rsidRDefault="00637082" w:rsidP="00637082">
      <w:pPr>
        <w:pStyle w:val="Default"/>
        <w:rPr>
          <w:sz w:val="23"/>
          <w:szCs w:val="23"/>
        </w:rPr>
      </w:pPr>
    </w:p>
    <w:p w:rsidR="00637082" w:rsidRDefault="00637082" w:rsidP="00637082">
      <w:pPr>
        <w:pStyle w:val="Default"/>
        <w:rPr>
          <w:sz w:val="23"/>
          <w:szCs w:val="23"/>
        </w:rPr>
      </w:pPr>
      <w:r>
        <w:rPr>
          <w:rFonts w:ascii="Wingdings" w:hAnsi="Wingdings" w:cs="Wingdings"/>
          <w:sz w:val="23"/>
          <w:szCs w:val="23"/>
        </w:rPr>
        <w:t></w:t>
      </w:r>
      <w:r>
        <w:rPr>
          <w:rFonts w:ascii="Wingdings" w:hAnsi="Wingdings" w:cs="Wingdings"/>
          <w:sz w:val="23"/>
          <w:szCs w:val="23"/>
        </w:rPr>
        <w:t></w:t>
      </w:r>
      <w:r>
        <w:rPr>
          <w:i/>
          <w:iCs/>
          <w:sz w:val="23"/>
          <w:szCs w:val="23"/>
        </w:rPr>
        <w:t xml:space="preserve">Waste </w:t>
      </w:r>
      <w:r>
        <w:rPr>
          <w:rFonts w:ascii="Courier New" w:hAnsi="Courier New" w:cs="Courier New"/>
          <w:sz w:val="23"/>
          <w:szCs w:val="23"/>
        </w:rPr>
        <w:t xml:space="preserve">o </w:t>
      </w:r>
      <w:proofErr w:type="gramStart"/>
      <w:r>
        <w:rPr>
          <w:sz w:val="23"/>
          <w:szCs w:val="23"/>
        </w:rPr>
        <w:t>Please</w:t>
      </w:r>
      <w:proofErr w:type="gramEnd"/>
      <w:r>
        <w:rPr>
          <w:sz w:val="23"/>
          <w:szCs w:val="23"/>
        </w:rPr>
        <w:t xml:space="preserve"> complete this tab with the types of waste that will be generated and where they will be disposed of. If they are disposed of in a Community, does the Proponent have permission to do so? </w:t>
      </w:r>
    </w:p>
    <w:p w:rsidR="00637082" w:rsidRPr="00637082" w:rsidRDefault="00637082" w:rsidP="00637082">
      <w:pPr>
        <w:pStyle w:val="Default"/>
        <w:rPr>
          <w:rFonts w:asciiTheme="minorHAnsi" w:hAnsiTheme="minorHAnsi" w:cstheme="minorHAnsi"/>
          <w:b/>
          <w:color w:val="31849B" w:themeColor="accent5" w:themeShade="BF"/>
          <w:sz w:val="22"/>
          <w:szCs w:val="22"/>
        </w:rPr>
      </w:pPr>
      <w:r w:rsidRPr="00637082">
        <w:rPr>
          <w:rFonts w:asciiTheme="minorHAnsi" w:hAnsiTheme="minorHAnsi" w:cstheme="minorHAnsi"/>
          <w:b/>
          <w:color w:val="31849B" w:themeColor="accent5" w:themeShade="BF"/>
          <w:sz w:val="22"/>
          <w:szCs w:val="22"/>
        </w:rPr>
        <w:t>The explosive activity will produce very minimum am</w:t>
      </w:r>
      <w:r w:rsidRPr="00637082">
        <w:rPr>
          <w:rFonts w:asciiTheme="minorHAnsi" w:hAnsiTheme="minorHAnsi" w:cstheme="minorHAnsi"/>
          <w:b/>
          <w:color w:val="31849B" w:themeColor="accent5" w:themeShade="BF"/>
          <w:sz w:val="22"/>
          <w:szCs w:val="22"/>
        </w:rPr>
        <w:t>ount of waste that will be brought</w:t>
      </w:r>
      <w:r w:rsidRPr="00637082">
        <w:rPr>
          <w:rFonts w:asciiTheme="minorHAnsi" w:hAnsiTheme="minorHAnsi" w:cstheme="minorHAnsi"/>
          <w:b/>
          <w:color w:val="31849B" w:themeColor="accent5" w:themeShade="BF"/>
          <w:sz w:val="22"/>
          <w:szCs w:val="22"/>
        </w:rPr>
        <w:t xml:space="preserve"> back to the FOL. </w:t>
      </w:r>
    </w:p>
    <w:p w:rsidR="00637082" w:rsidRPr="00637082" w:rsidRDefault="00637082" w:rsidP="00637082">
      <w:pPr>
        <w:pStyle w:val="Default"/>
        <w:rPr>
          <w:rFonts w:asciiTheme="minorHAnsi" w:hAnsiTheme="minorHAnsi" w:cstheme="minorHAnsi"/>
          <w:b/>
          <w:color w:val="31849B" w:themeColor="accent5" w:themeShade="BF"/>
          <w:sz w:val="22"/>
          <w:szCs w:val="22"/>
        </w:rPr>
      </w:pPr>
      <w:r w:rsidRPr="00637082">
        <w:rPr>
          <w:rFonts w:asciiTheme="minorHAnsi" w:hAnsiTheme="minorHAnsi" w:cstheme="minorHAnsi"/>
          <w:b/>
          <w:color w:val="31849B" w:themeColor="accent5" w:themeShade="BF"/>
          <w:sz w:val="22"/>
          <w:szCs w:val="22"/>
        </w:rPr>
        <w:t>If there is a miss fire</w:t>
      </w:r>
      <w:r w:rsidRPr="00637082">
        <w:rPr>
          <w:rFonts w:asciiTheme="minorHAnsi" w:hAnsiTheme="minorHAnsi" w:cstheme="minorHAnsi"/>
          <w:b/>
          <w:color w:val="31849B" w:themeColor="accent5" w:themeShade="BF"/>
          <w:sz w:val="22"/>
          <w:szCs w:val="22"/>
        </w:rPr>
        <w:t>, the divers will have the qualified personnel in place to destroy the unexploded charge.</w:t>
      </w:r>
    </w:p>
    <w:p w:rsidR="00637082" w:rsidRPr="00637082" w:rsidRDefault="00637082" w:rsidP="00637082">
      <w:pPr>
        <w:pStyle w:val="Default"/>
        <w:rPr>
          <w:rFonts w:asciiTheme="minorHAnsi" w:hAnsiTheme="minorHAnsi" w:cstheme="minorHAnsi"/>
          <w:sz w:val="22"/>
          <w:szCs w:val="22"/>
        </w:rPr>
      </w:pPr>
      <w:r w:rsidRPr="00637082">
        <w:rPr>
          <w:rFonts w:asciiTheme="minorHAnsi" w:hAnsiTheme="minorHAnsi" w:cstheme="minorHAnsi"/>
          <w:b/>
          <w:color w:val="31849B" w:themeColor="accent5" w:themeShade="BF"/>
          <w:sz w:val="22"/>
          <w:szCs w:val="22"/>
        </w:rPr>
        <w:t xml:space="preserve">During the planning portion they met with the Town manager </w:t>
      </w:r>
      <w:r w:rsidRPr="00637082">
        <w:rPr>
          <w:rFonts w:asciiTheme="minorHAnsi" w:hAnsiTheme="minorHAnsi" w:cstheme="minorHAnsi"/>
          <w:b/>
          <w:color w:val="31849B" w:themeColor="accent5" w:themeShade="BF"/>
          <w:sz w:val="22"/>
          <w:szCs w:val="22"/>
        </w:rPr>
        <w:t xml:space="preserve">who </w:t>
      </w:r>
      <w:r w:rsidRPr="00637082">
        <w:rPr>
          <w:rFonts w:asciiTheme="minorHAnsi" w:hAnsiTheme="minorHAnsi" w:cstheme="minorHAnsi"/>
          <w:b/>
          <w:color w:val="31849B" w:themeColor="accent5" w:themeShade="BF"/>
          <w:sz w:val="22"/>
          <w:szCs w:val="22"/>
        </w:rPr>
        <w:t xml:space="preserve">advised they had permission to use </w:t>
      </w:r>
      <w:r w:rsidRPr="00637082">
        <w:rPr>
          <w:rFonts w:asciiTheme="minorHAnsi" w:hAnsiTheme="minorHAnsi" w:cstheme="minorHAnsi"/>
          <w:b/>
          <w:color w:val="31849B" w:themeColor="accent5" w:themeShade="BF"/>
          <w:sz w:val="22"/>
          <w:szCs w:val="22"/>
        </w:rPr>
        <w:t>the city dump</w:t>
      </w:r>
      <w:r w:rsidRPr="00637082">
        <w:rPr>
          <w:rFonts w:asciiTheme="minorHAnsi" w:hAnsiTheme="minorHAnsi" w:cstheme="minorHAnsi"/>
          <w:b/>
          <w:color w:val="31849B" w:themeColor="accent5" w:themeShade="BF"/>
          <w:sz w:val="22"/>
          <w:szCs w:val="22"/>
        </w:rPr>
        <w:t xml:space="preserve"> for garbage disposal</w:t>
      </w:r>
      <w:r w:rsidRPr="00637082">
        <w:rPr>
          <w:rFonts w:asciiTheme="minorHAnsi" w:hAnsiTheme="minorHAnsi" w:cstheme="minorHAnsi"/>
          <w:color w:val="1F497D"/>
          <w:sz w:val="22"/>
          <w:szCs w:val="22"/>
        </w:rPr>
        <w:t>.</w:t>
      </w:r>
    </w:p>
    <w:p w:rsidR="00637082" w:rsidRDefault="00637082" w:rsidP="00637082">
      <w:pPr>
        <w:pStyle w:val="Default"/>
        <w:rPr>
          <w:sz w:val="23"/>
          <w:szCs w:val="23"/>
        </w:rPr>
      </w:pPr>
    </w:p>
    <w:p w:rsidR="00637082" w:rsidRDefault="00637082" w:rsidP="00637082">
      <w:pPr>
        <w:pStyle w:val="Default"/>
        <w:rPr>
          <w:sz w:val="23"/>
          <w:szCs w:val="23"/>
        </w:rPr>
      </w:pPr>
    </w:p>
    <w:p w:rsidR="00637082" w:rsidRDefault="00637082" w:rsidP="00637082">
      <w:pPr>
        <w:pStyle w:val="Default"/>
        <w:rPr>
          <w:sz w:val="23"/>
          <w:szCs w:val="23"/>
        </w:rPr>
      </w:pPr>
      <w:r>
        <w:rPr>
          <w:sz w:val="23"/>
          <w:szCs w:val="23"/>
        </w:rPr>
        <w:t xml:space="preserve">The Proponent is recommended to review the Help Boxes associated with the NIRB’s online application form when completing the application. </w:t>
      </w:r>
    </w:p>
    <w:p w:rsidR="00637082" w:rsidRDefault="00637082" w:rsidP="00637082">
      <w:pPr>
        <w:pStyle w:val="Default"/>
        <w:pageBreakBefore/>
        <w:rPr>
          <w:sz w:val="16"/>
          <w:szCs w:val="16"/>
        </w:rPr>
      </w:pPr>
      <w:r>
        <w:rPr>
          <w:sz w:val="16"/>
          <w:szCs w:val="16"/>
        </w:rPr>
        <w:lastRenderedPageBreak/>
        <w:t>(866) 233-3033 (867) 983-2594 info@nirb.ca www.nirb.ca @</w:t>
      </w:r>
      <w:proofErr w:type="spellStart"/>
      <w:r>
        <w:rPr>
          <w:sz w:val="16"/>
          <w:szCs w:val="16"/>
        </w:rPr>
        <w:t>NunavutImpactReviewBoard</w:t>
      </w:r>
      <w:proofErr w:type="spellEnd"/>
      <w:r>
        <w:rPr>
          <w:sz w:val="16"/>
          <w:szCs w:val="16"/>
        </w:rPr>
        <w:t xml:space="preserve"> P.O. Box 1360, Cambridge Bay, NU X0B 0C0 Page 5 of 5 </w:t>
      </w:r>
    </w:p>
    <w:p w:rsidR="00637082" w:rsidRDefault="00637082" w:rsidP="00637082">
      <w:pPr>
        <w:pStyle w:val="Default"/>
        <w:rPr>
          <w:sz w:val="23"/>
          <w:szCs w:val="23"/>
        </w:rPr>
      </w:pPr>
      <w:r>
        <w:rPr>
          <w:b/>
          <w:bCs/>
          <w:sz w:val="23"/>
          <w:szCs w:val="23"/>
        </w:rPr>
        <w:t xml:space="preserve">2. </w:t>
      </w:r>
      <w:r>
        <w:rPr>
          <w:b/>
          <w:bCs/>
          <w:i/>
          <w:iCs/>
          <w:sz w:val="23"/>
          <w:szCs w:val="23"/>
        </w:rPr>
        <w:t>T</w:t>
      </w:r>
      <w:r>
        <w:rPr>
          <w:b/>
          <w:bCs/>
          <w:i/>
          <w:iCs/>
          <w:sz w:val="19"/>
          <w:szCs w:val="19"/>
        </w:rPr>
        <w:t>OPIC</w:t>
      </w:r>
      <w:r>
        <w:rPr>
          <w:b/>
          <w:bCs/>
          <w:i/>
          <w:iCs/>
          <w:sz w:val="23"/>
          <w:szCs w:val="23"/>
        </w:rPr>
        <w:t>/I</w:t>
      </w:r>
      <w:r>
        <w:rPr>
          <w:b/>
          <w:bCs/>
          <w:i/>
          <w:iCs/>
          <w:sz w:val="19"/>
          <w:szCs w:val="19"/>
        </w:rPr>
        <w:t>SSUE</w:t>
      </w:r>
      <w:r>
        <w:rPr>
          <w:b/>
          <w:bCs/>
          <w:i/>
          <w:iCs/>
          <w:sz w:val="23"/>
          <w:szCs w:val="23"/>
        </w:rPr>
        <w:t xml:space="preserve">: </w:t>
      </w:r>
      <w:r>
        <w:rPr>
          <w:b/>
          <w:bCs/>
          <w:sz w:val="23"/>
          <w:szCs w:val="23"/>
        </w:rPr>
        <w:t xml:space="preserve">Supplemental supporting documentation </w:t>
      </w:r>
    </w:p>
    <w:p w:rsidR="00637082" w:rsidRDefault="00637082" w:rsidP="00637082">
      <w:pPr>
        <w:pStyle w:val="Default"/>
        <w:rPr>
          <w:sz w:val="23"/>
          <w:szCs w:val="23"/>
        </w:rPr>
      </w:pPr>
    </w:p>
    <w:p w:rsidR="00637082" w:rsidRDefault="00637082" w:rsidP="00637082">
      <w:pPr>
        <w:pStyle w:val="Default"/>
        <w:rPr>
          <w:sz w:val="23"/>
          <w:szCs w:val="23"/>
        </w:rPr>
      </w:pPr>
      <w:r>
        <w:rPr>
          <w:b/>
          <w:bCs/>
          <w:i/>
          <w:iCs/>
          <w:sz w:val="23"/>
          <w:szCs w:val="23"/>
        </w:rPr>
        <w:t>R</w:t>
      </w:r>
      <w:r>
        <w:rPr>
          <w:b/>
          <w:bCs/>
          <w:i/>
          <w:iCs/>
          <w:sz w:val="19"/>
          <w:szCs w:val="19"/>
        </w:rPr>
        <w:t>EFERENCE</w:t>
      </w:r>
      <w:r>
        <w:rPr>
          <w:b/>
          <w:bCs/>
          <w:i/>
          <w:iCs/>
          <w:sz w:val="23"/>
          <w:szCs w:val="23"/>
        </w:rPr>
        <w:t xml:space="preserve">: </w:t>
      </w:r>
      <w:r>
        <w:rPr>
          <w:sz w:val="23"/>
          <w:szCs w:val="23"/>
        </w:rPr>
        <w:t xml:space="preserve">Requirement of documentation to complete screening assessment </w:t>
      </w:r>
    </w:p>
    <w:p w:rsidR="00637082" w:rsidRDefault="00637082" w:rsidP="00637082">
      <w:pPr>
        <w:pStyle w:val="Default"/>
        <w:rPr>
          <w:sz w:val="23"/>
          <w:szCs w:val="23"/>
        </w:rPr>
      </w:pPr>
      <w:r>
        <w:rPr>
          <w:b/>
          <w:bCs/>
          <w:i/>
          <w:iCs/>
          <w:sz w:val="23"/>
          <w:szCs w:val="23"/>
        </w:rPr>
        <w:t>R</w:t>
      </w:r>
      <w:r>
        <w:rPr>
          <w:b/>
          <w:bCs/>
          <w:i/>
          <w:iCs/>
          <w:sz w:val="19"/>
          <w:szCs w:val="19"/>
        </w:rPr>
        <w:t>ATIONALE</w:t>
      </w:r>
      <w:r>
        <w:rPr>
          <w:b/>
          <w:bCs/>
          <w:i/>
          <w:iCs/>
          <w:sz w:val="23"/>
          <w:szCs w:val="23"/>
        </w:rPr>
        <w:t xml:space="preserve">: </w:t>
      </w:r>
      <w:r>
        <w:rPr>
          <w:sz w:val="23"/>
          <w:szCs w:val="23"/>
        </w:rPr>
        <w:t xml:space="preserve">To properly scope and assess proposed projects, the NIRB requires proponents to provide specific information on proposed activities, associated components, and proposed mitigation and monitoring measures related to the proposal. </w:t>
      </w:r>
    </w:p>
    <w:p w:rsidR="00637082" w:rsidRDefault="00637082" w:rsidP="00637082">
      <w:pPr>
        <w:pStyle w:val="Default"/>
        <w:rPr>
          <w:sz w:val="23"/>
          <w:szCs w:val="23"/>
        </w:rPr>
      </w:pPr>
      <w:r>
        <w:rPr>
          <w:b/>
          <w:bCs/>
          <w:i/>
          <w:iCs/>
          <w:sz w:val="23"/>
          <w:szCs w:val="23"/>
        </w:rPr>
        <w:t>R</w:t>
      </w:r>
      <w:r>
        <w:rPr>
          <w:b/>
          <w:bCs/>
          <w:i/>
          <w:iCs/>
          <w:sz w:val="19"/>
          <w:szCs w:val="19"/>
        </w:rPr>
        <w:t>EQUEST</w:t>
      </w:r>
      <w:r>
        <w:rPr>
          <w:b/>
          <w:bCs/>
          <w:i/>
          <w:iCs/>
          <w:sz w:val="23"/>
          <w:szCs w:val="23"/>
        </w:rPr>
        <w:t xml:space="preserve">: </w:t>
      </w:r>
      <w:r>
        <w:rPr>
          <w:sz w:val="23"/>
          <w:szCs w:val="23"/>
        </w:rPr>
        <w:t xml:space="preserve">Provide supplemental information regarding the following: </w:t>
      </w:r>
    </w:p>
    <w:p w:rsidR="00637082" w:rsidRDefault="00637082" w:rsidP="00637082">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Identification of the potential environmental impacts from all activities, with a focus on the potential impacts from blasting activities on the marine environment; </w:t>
      </w:r>
    </w:p>
    <w:p w:rsidR="00637082" w:rsidRPr="00637082" w:rsidRDefault="00637082" w:rsidP="00637082">
      <w:pPr>
        <w:pStyle w:val="Default"/>
        <w:rPr>
          <w:rFonts w:ascii="Calibri" w:hAnsi="Calibri" w:cs="Calibri"/>
          <w:b/>
          <w:color w:val="31849B" w:themeColor="accent5" w:themeShade="BF"/>
          <w:sz w:val="22"/>
          <w:szCs w:val="22"/>
        </w:rPr>
      </w:pPr>
      <w:r w:rsidRPr="00637082">
        <w:rPr>
          <w:rFonts w:ascii="Calibri" w:hAnsi="Calibri" w:cs="Calibri"/>
          <w:b/>
          <w:color w:val="31849B" w:themeColor="accent5" w:themeShade="BF"/>
          <w:sz w:val="22"/>
          <w:szCs w:val="22"/>
        </w:rPr>
        <w:t xml:space="preserve">The impact on </w:t>
      </w:r>
      <w:r w:rsidRPr="00637082">
        <w:rPr>
          <w:rFonts w:ascii="Calibri" w:hAnsi="Calibri" w:cs="Calibri"/>
          <w:b/>
          <w:color w:val="31849B" w:themeColor="accent5" w:themeShade="BF"/>
          <w:sz w:val="22"/>
          <w:szCs w:val="22"/>
        </w:rPr>
        <w:t>the environment of all activities</w:t>
      </w:r>
      <w:r w:rsidRPr="00637082">
        <w:rPr>
          <w:rFonts w:ascii="Calibri" w:hAnsi="Calibri" w:cs="Calibri"/>
          <w:b/>
          <w:color w:val="31849B" w:themeColor="accent5" w:themeShade="BF"/>
          <w:sz w:val="22"/>
          <w:szCs w:val="22"/>
        </w:rPr>
        <w:t xml:space="preserve"> will be minimal. The worst thing that could possibly happen is a spill of gas while refuelling a snowmobile. In that eventuality they will react as quick as possible and make use of their first response spill kit to mitigate the imp</w:t>
      </w:r>
      <w:r w:rsidRPr="00637082">
        <w:rPr>
          <w:rFonts w:ascii="Calibri" w:hAnsi="Calibri" w:cs="Calibri"/>
          <w:b/>
          <w:color w:val="31849B" w:themeColor="accent5" w:themeShade="BF"/>
          <w:sz w:val="22"/>
          <w:szCs w:val="22"/>
        </w:rPr>
        <w:t xml:space="preserve">act on the environment and will send a spill report </w:t>
      </w:r>
      <w:r w:rsidRPr="00637082">
        <w:rPr>
          <w:rFonts w:ascii="Calibri" w:hAnsi="Calibri" w:cs="Calibri"/>
          <w:b/>
          <w:color w:val="31849B" w:themeColor="accent5" w:themeShade="BF"/>
          <w:sz w:val="22"/>
          <w:szCs w:val="22"/>
        </w:rPr>
        <w:t>to JTFN. For the explosive portion</w:t>
      </w:r>
      <w:r w:rsidRPr="00637082">
        <w:rPr>
          <w:rFonts w:ascii="Calibri" w:hAnsi="Calibri" w:cs="Calibri"/>
          <w:b/>
          <w:color w:val="31849B" w:themeColor="accent5" w:themeShade="BF"/>
          <w:sz w:val="22"/>
          <w:szCs w:val="22"/>
        </w:rPr>
        <w:t>,</w:t>
      </w:r>
      <w:r w:rsidRPr="00637082">
        <w:rPr>
          <w:rFonts w:ascii="Calibri" w:hAnsi="Calibri" w:cs="Calibri"/>
          <w:b/>
          <w:color w:val="31849B" w:themeColor="accent5" w:themeShade="BF"/>
          <w:sz w:val="22"/>
          <w:szCs w:val="22"/>
        </w:rPr>
        <w:t xml:space="preserve"> the impact on the environment could result in some fishes or </w:t>
      </w:r>
      <w:r w:rsidRPr="00637082">
        <w:rPr>
          <w:rFonts w:ascii="Calibri" w:hAnsi="Calibri" w:cs="Calibri"/>
          <w:b/>
          <w:color w:val="31849B" w:themeColor="accent5" w:themeShade="BF"/>
          <w:sz w:val="22"/>
          <w:szCs w:val="22"/>
        </w:rPr>
        <w:t>marine wild life being disturbed</w:t>
      </w:r>
      <w:r w:rsidRPr="00637082">
        <w:rPr>
          <w:rFonts w:ascii="Calibri" w:hAnsi="Calibri" w:cs="Calibri"/>
          <w:b/>
          <w:color w:val="31849B" w:themeColor="accent5" w:themeShade="BF"/>
          <w:sz w:val="22"/>
          <w:szCs w:val="22"/>
        </w:rPr>
        <w:t xml:space="preserve"> in very close proximity of the explosive site. </w:t>
      </w:r>
      <w:r w:rsidR="001716D7" w:rsidRPr="001716D7">
        <w:rPr>
          <w:rFonts w:asciiTheme="minorHAnsi" w:hAnsiTheme="minorHAnsi" w:cstheme="minorHAnsi"/>
          <w:b/>
          <w:color w:val="31849B" w:themeColor="accent5" w:themeShade="BF"/>
          <w:sz w:val="22"/>
          <w:szCs w:val="22"/>
          <w:lang w:val="en-US"/>
        </w:rPr>
        <w:t>Standard measures (bubble curtain) will not be employed</w:t>
      </w:r>
      <w:r w:rsidR="001716D7">
        <w:rPr>
          <w:rFonts w:asciiTheme="minorHAnsi" w:hAnsiTheme="minorHAnsi" w:cstheme="minorHAnsi"/>
          <w:b/>
          <w:color w:val="31849B" w:themeColor="accent5" w:themeShade="BF"/>
          <w:sz w:val="22"/>
          <w:szCs w:val="22"/>
          <w:lang w:val="en-US"/>
        </w:rPr>
        <w:t>, in order</w:t>
      </w:r>
      <w:r w:rsidR="001716D7" w:rsidRPr="001716D7">
        <w:rPr>
          <w:rFonts w:asciiTheme="minorHAnsi" w:hAnsiTheme="minorHAnsi" w:cstheme="minorHAnsi"/>
          <w:b/>
          <w:color w:val="31849B" w:themeColor="accent5" w:themeShade="BF"/>
          <w:sz w:val="22"/>
          <w:szCs w:val="22"/>
          <w:lang w:val="en-US"/>
        </w:rPr>
        <w:t xml:space="preserve"> to reduce the effect on the marine environment</w:t>
      </w:r>
      <w:r w:rsidR="001716D7">
        <w:rPr>
          <w:rFonts w:asciiTheme="minorHAnsi" w:hAnsiTheme="minorHAnsi" w:cstheme="minorHAnsi"/>
          <w:b/>
          <w:color w:val="31849B" w:themeColor="accent5" w:themeShade="BF"/>
          <w:sz w:val="22"/>
          <w:szCs w:val="22"/>
          <w:lang w:val="en-US"/>
        </w:rPr>
        <w:t>.</w:t>
      </w:r>
      <w:r w:rsidR="001716D7" w:rsidRPr="00637082">
        <w:rPr>
          <w:rFonts w:ascii="Calibri" w:hAnsi="Calibri" w:cs="Calibri"/>
          <w:b/>
          <w:color w:val="31849B" w:themeColor="accent5" w:themeShade="BF"/>
          <w:sz w:val="22"/>
          <w:szCs w:val="22"/>
        </w:rPr>
        <w:t xml:space="preserve"> </w:t>
      </w:r>
      <w:proofErr w:type="gramStart"/>
      <w:r w:rsidRPr="00637082">
        <w:rPr>
          <w:rFonts w:ascii="Calibri" w:hAnsi="Calibri" w:cs="Calibri"/>
          <w:b/>
          <w:color w:val="31849B" w:themeColor="accent5" w:themeShade="BF"/>
          <w:sz w:val="22"/>
          <w:szCs w:val="22"/>
        </w:rPr>
        <w:t>The</w:t>
      </w:r>
      <w:proofErr w:type="gramEnd"/>
      <w:r w:rsidRPr="00637082">
        <w:rPr>
          <w:rFonts w:ascii="Calibri" w:hAnsi="Calibri" w:cs="Calibri"/>
          <w:b/>
          <w:color w:val="31849B" w:themeColor="accent5" w:themeShade="BF"/>
          <w:sz w:val="22"/>
          <w:szCs w:val="22"/>
        </w:rPr>
        <w:t xml:space="preserve"> town will hear the detonation but considering the distance from the site, the sound o</w:t>
      </w:r>
      <w:r w:rsidRPr="00637082">
        <w:rPr>
          <w:rFonts w:ascii="Calibri" w:hAnsi="Calibri" w:cs="Calibri"/>
          <w:b/>
          <w:color w:val="31849B" w:themeColor="accent5" w:themeShade="BF"/>
          <w:sz w:val="22"/>
          <w:szCs w:val="22"/>
        </w:rPr>
        <w:t>f the blast should be moderate</w:t>
      </w:r>
      <w:r w:rsidRPr="00637082">
        <w:rPr>
          <w:rFonts w:ascii="Calibri" w:hAnsi="Calibri" w:cs="Calibri"/>
          <w:b/>
          <w:color w:val="31849B" w:themeColor="accent5" w:themeShade="BF"/>
          <w:sz w:val="22"/>
          <w:szCs w:val="22"/>
        </w:rPr>
        <w:t>. The shock wave created by the blast will be stop</w:t>
      </w:r>
      <w:r w:rsidRPr="00637082">
        <w:rPr>
          <w:rFonts w:ascii="Calibri" w:hAnsi="Calibri" w:cs="Calibri"/>
          <w:b/>
          <w:color w:val="31849B" w:themeColor="accent5" w:themeShade="BF"/>
          <w:sz w:val="22"/>
          <w:szCs w:val="22"/>
        </w:rPr>
        <w:t>ped</w:t>
      </w:r>
      <w:r w:rsidRPr="00637082">
        <w:rPr>
          <w:rFonts w:ascii="Calibri" w:hAnsi="Calibri" w:cs="Calibri"/>
          <w:b/>
          <w:color w:val="31849B" w:themeColor="accent5" w:themeShade="BF"/>
          <w:sz w:val="22"/>
          <w:szCs w:val="22"/>
        </w:rPr>
        <w:t xml:space="preserve"> by the land on one side and an island on another. This being said considering the amount of explosive plan t</w:t>
      </w:r>
      <w:r w:rsidRPr="00637082">
        <w:rPr>
          <w:rFonts w:ascii="Calibri" w:hAnsi="Calibri" w:cs="Calibri"/>
          <w:b/>
          <w:color w:val="31849B" w:themeColor="accent5" w:themeShade="BF"/>
          <w:sz w:val="22"/>
          <w:szCs w:val="22"/>
        </w:rPr>
        <w:t>o be used, the shock wave would</w:t>
      </w:r>
      <w:r w:rsidRPr="00637082">
        <w:rPr>
          <w:rFonts w:ascii="Calibri" w:hAnsi="Calibri" w:cs="Calibri"/>
          <w:b/>
          <w:color w:val="31849B" w:themeColor="accent5" w:themeShade="BF"/>
          <w:sz w:val="22"/>
          <w:szCs w:val="22"/>
        </w:rPr>
        <w:t xml:space="preserve"> be very minimal. </w:t>
      </w:r>
      <w:bookmarkStart w:id="0" w:name="_GoBack"/>
      <w:bookmarkEnd w:id="0"/>
    </w:p>
    <w:p w:rsidR="00637082" w:rsidRDefault="00637082" w:rsidP="00637082">
      <w:pPr>
        <w:pStyle w:val="Default"/>
        <w:rPr>
          <w:rFonts w:ascii="Calibri" w:hAnsi="Calibri" w:cs="Calibri"/>
          <w:color w:val="1F497D"/>
          <w:sz w:val="22"/>
          <w:szCs w:val="22"/>
        </w:rPr>
      </w:pPr>
    </w:p>
    <w:p w:rsidR="00637082" w:rsidRDefault="00637082" w:rsidP="00637082">
      <w:pPr>
        <w:pStyle w:val="Default"/>
        <w:rPr>
          <w:sz w:val="23"/>
          <w:szCs w:val="23"/>
        </w:rPr>
      </w:pPr>
    </w:p>
    <w:p w:rsidR="00637082" w:rsidRDefault="00637082" w:rsidP="00637082">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Mitigation plans for those identified potential impacts and proposed mitigation measures; and </w:t>
      </w:r>
    </w:p>
    <w:p w:rsidR="001716D7" w:rsidRPr="001716D7" w:rsidRDefault="001716D7" w:rsidP="001716D7">
      <w:pPr>
        <w:pStyle w:val="Default"/>
        <w:rPr>
          <w:rFonts w:ascii="Calibri" w:hAnsi="Calibri" w:cs="Calibri"/>
          <w:b/>
          <w:color w:val="31849B" w:themeColor="accent5" w:themeShade="BF"/>
          <w:sz w:val="22"/>
          <w:szCs w:val="22"/>
        </w:rPr>
      </w:pPr>
      <w:r w:rsidRPr="001716D7">
        <w:rPr>
          <w:rFonts w:ascii="Calibri" w:hAnsi="Calibri" w:cs="Calibri"/>
          <w:b/>
          <w:color w:val="31849B" w:themeColor="accent5" w:themeShade="BF"/>
          <w:sz w:val="22"/>
          <w:szCs w:val="22"/>
        </w:rPr>
        <w:t>First response spill kit and cleaning of the spills followed by the submission of a spill report; (Fuel caches, snowmobile refuelling)</w:t>
      </w:r>
    </w:p>
    <w:p w:rsidR="001716D7" w:rsidRPr="001716D7" w:rsidRDefault="001716D7" w:rsidP="001716D7">
      <w:pPr>
        <w:pStyle w:val="Default"/>
        <w:rPr>
          <w:rFonts w:asciiTheme="minorHAnsi" w:hAnsiTheme="minorHAnsi" w:cstheme="minorHAnsi"/>
          <w:b/>
          <w:color w:val="31849B" w:themeColor="accent5" w:themeShade="BF"/>
          <w:sz w:val="22"/>
          <w:szCs w:val="22"/>
        </w:rPr>
      </w:pPr>
      <w:r w:rsidRPr="001716D7">
        <w:rPr>
          <w:rFonts w:ascii="Calibri" w:hAnsi="Calibri" w:cs="Calibri"/>
          <w:b/>
          <w:color w:val="31849B" w:themeColor="accent5" w:themeShade="BF"/>
          <w:sz w:val="22"/>
          <w:szCs w:val="22"/>
        </w:rPr>
        <w:t>For the explosive activity</w:t>
      </w:r>
      <w:r w:rsidRPr="001716D7">
        <w:rPr>
          <w:rFonts w:ascii="Calibri" w:hAnsi="Calibri" w:cs="Calibri"/>
          <w:b/>
          <w:color w:val="31849B" w:themeColor="accent5" w:themeShade="BF"/>
          <w:sz w:val="22"/>
          <w:szCs w:val="22"/>
        </w:rPr>
        <w:t xml:space="preserve"> -</w:t>
      </w:r>
      <w:r w:rsidRPr="001716D7">
        <w:rPr>
          <w:rFonts w:ascii="Calibri" w:hAnsi="Calibri" w:cs="Calibri"/>
          <w:b/>
          <w:color w:val="31849B" w:themeColor="accent5" w:themeShade="BF"/>
          <w:sz w:val="22"/>
          <w:szCs w:val="22"/>
        </w:rPr>
        <w:t xml:space="preserve"> the site was chosen in consideration with the mitigation of the shock wave travelling distance as well as</w:t>
      </w:r>
      <w:r w:rsidRPr="001716D7">
        <w:rPr>
          <w:rFonts w:ascii="Calibri" w:hAnsi="Calibri" w:cs="Calibri"/>
          <w:b/>
          <w:color w:val="31849B" w:themeColor="accent5" w:themeShade="BF"/>
          <w:sz w:val="22"/>
          <w:szCs w:val="22"/>
        </w:rPr>
        <w:t xml:space="preserve"> due to its</w:t>
      </w:r>
      <w:r w:rsidRPr="001716D7">
        <w:rPr>
          <w:rFonts w:ascii="Calibri" w:hAnsi="Calibri" w:cs="Calibri"/>
          <w:b/>
          <w:color w:val="31849B" w:themeColor="accent5" w:themeShade="BF"/>
          <w:sz w:val="22"/>
          <w:szCs w:val="22"/>
        </w:rPr>
        <w:t xml:space="preserve"> distance from </w:t>
      </w:r>
      <w:r w:rsidRPr="001716D7">
        <w:rPr>
          <w:rFonts w:ascii="Calibri" w:hAnsi="Calibri" w:cs="Calibri"/>
          <w:b/>
          <w:color w:val="31849B" w:themeColor="accent5" w:themeShade="BF"/>
          <w:sz w:val="22"/>
          <w:szCs w:val="22"/>
        </w:rPr>
        <w:t xml:space="preserve">the </w:t>
      </w:r>
      <w:r w:rsidRPr="001716D7">
        <w:rPr>
          <w:rFonts w:ascii="Calibri" w:hAnsi="Calibri" w:cs="Calibri"/>
          <w:b/>
          <w:color w:val="31849B" w:themeColor="accent5" w:themeShade="BF"/>
          <w:sz w:val="22"/>
          <w:szCs w:val="22"/>
        </w:rPr>
        <w:t>town.</w:t>
      </w:r>
      <w:r>
        <w:rPr>
          <w:rFonts w:ascii="Calibri" w:hAnsi="Calibri" w:cs="Calibri"/>
          <w:b/>
          <w:color w:val="31849B" w:themeColor="accent5" w:themeShade="BF"/>
          <w:sz w:val="22"/>
          <w:szCs w:val="22"/>
        </w:rPr>
        <w:t xml:space="preserve">  </w:t>
      </w:r>
      <w:r w:rsidRPr="001716D7">
        <w:rPr>
          <w:rFonts w:asciiTheme="minorHAnsi" w:hAnsiTheme="minorHAnsi" w:cstheme="minorHAnsi"/>
          <w:b/>
          <w:color w:val="31849B" w:themeColor="accent5" w:themeShade="BF"/>
          <w:sz w:val="22"/>
          <w:szCs w:val="22"/>
          <w:lang w:val="en-US"/>
        </w:rPr>
        <w:t>S</w:t>
      </w:r>
      <w:r w:rsidRPr="001716D7">
        <w:rPr>
          <w:rFonts w:asciiTheme="minorHAnsi" w:hAnsiTheme="minorHAnsi" w:cstheme="minorHAnsi"/>
          <w:b/>
          <w:color w:val="31849B" w:themeColor="accent5" w:themeShade="BF"/>
          <w:sz w:val="22"/>
          <w:szCs w:val="22"/>
          <w:lang w:val="en-US"/>
        </w:rPr>
        <w:t>tandard mitigation measures (bubble curtain) will not be employed to reduce the effect on the marine environment. However, there are natural environmental mitigation measures based on the chosen location. Due to the increased depth (~33m) of the chosen site, disturbance to the seabed will be less than in shallower depths. The chosen location is surrounded by islands with steep terrain. The location of the islands in relation to the detonation site will help to both provide frontal protection to personnel and to minimize propagation of the blast-wave toward the community</w:t>
      </w:r>
    </w:p>
    <w:p w:rsidR="001716D7" w:rsidRDefault="001716D7" w:rsidP="001716D7">
      <w:pPr>
        <w:pStyle w:val="Default"/>
        <w:rPr>
          <w:sz w:val="23"/>
          <w:szCs w:val="23"/>
        </w:rPr>
      </w:pPr>
    </w:p>
    <w:p w:rsidR="001716D7" w:rsidRPr="001716D7" w:rsidRDefault="001716D7" w:rsidP="001716D7">
      <w:pPr>
        <w:pStyle w:val="Default"/>
        <w:rPr>
          <w:rFonts w:ascii="Calibri" w:hAnsi="Calibri" w:cs="Calibri"/>
          <w:b/>
          <w:color w:val="31849B" w:themeColor="accent5" w:themeShade="BF"/>
          <w:sz w:val="22"/>
          <w:szCs w:val="22"/>
        </w:rPr>
      </w:pPr>
    </w:p>
    <w:p w:rsidR="001716D7" w:rsidRDefault="001716D7" w:rsidP="00637082">
      <w:pPr>
        <w:pStyle w:val="Default"/>
        <w:rPr>
          <w:sz w:val="23"/>
          <w:szCs w:val="23"/>
        </w:rPr>
      </w:pPr>
    </w:p>
    <w:p w:rsidR="00637082" w:rsidRDefault="00637082" w:rsidP="00637082">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A discussion on waste management and spill contingency plans. </w:t>
      </w:r>
    </w:p>
    <w:p w:rsidR="001716D7" w:rsidRPr="001716D7" w:rsidRDefault="001716D7" w:rsidP="001716D7">
      <w:pPr>
        <w:pStyle w:val="Default"/>
        <w:rPr>
          <w:rFonts w:ascii="Calibri" w:hAnsi="Calibri" w:cs="Calibri"/>
          <w:b/>
          <w:color w:val="31849B" w:themeColor="accent5" w:themeShade="BF"/>
          <w:sz w:val="22"/>
          <w:szCs w:val="22"/>
        </w:rPr>
      </w:pPr>
      <w:r w:rsidRPr="001716D7">
        <w:rPr>
          <w:rFonts w:ascii="Calibri" w:hAnsi="Calibri" w:cs="Calibri"/>
          <w:b/>
          <w:color w:val="31849B" w:themeColor="accent5" w:themeShade="BF"/>
          <w:sz w:val="22"/>
          <w:szCs w:val="22"/>
        </w:rPr>
        <w:t xml:space="preserve">A contractor will empty the PAB garbage container on an establish schedule and all activity conducted on </w:t>
      </w:r>
      <w:r>
        <w:rPr>
          <w:rFonts w:ascii="Calibri" w:hAnsi="Calibri" w:cs="Calibri"/>
          <w:b/>
          <w:color w:val="31849B" w:themeColor="accent5" w:themeShade="BF"/>
          <w:sz w:val="22"/>
          <w:szCs w:val="22"/>
        </w:rPr>
        <w:t xml:space="preserve">land will bring their garbage </w:t>
      </w:r>
      <w:r w:rsidRPr="001716D7">
        <w:rPr>
          <w:rFonts w:ascii="Calibri" w:hAnsi="Calibri" w:cs="Calibri"/>
          <w:b/>
          <w:color w:val="31849B" w:themeColor="accent5" w:themeShade="BF"/>
          <w:sz w:val="22"/>
          <w:szCs w:val="22"/>
        </w:rPr>
        <w:t>back to the FOL to dispose of them in the containers.</w:t>
      </w:r>
    </w:p>
    <w:p w:rsidR="001716D7" w:rsidRPr="001716D7" w:rsidRDefault="001716D7" w:rsidP="001716D7">
      <w:pPr>
        <w:pStyle w:val="Default"/>
        <w:rPr>
          <w:rFonts w:ascii="Calibri" w:hAnsi="Calibri" w:cs="Calibri"/>
          <w:b/>
          <w:color w:val="31849B" w:themeColor="accent5" w:themeShade="BF"/>
          <w:sz w:val="22"/>
          <w:szCs w:val="22"/>
        </w:rPr>
      </w:pPr>
      <w:r w:rsidRPr="001716D7">
        <w:rPr>
          <w:rFonts w:ascii="Calibri" w:hAnsi="Calibri" w:cs="Calibri"/>
          <w:b/>
          <w:color w:val="31849B" w:themeColor="accent5" w:themeShade="BF"/>
          <w:sz w:val="22"/>
          <w:szCs w:val="22"/>
        </w:rPr>
        <w:t>The contingency plan for spill is to clean as much as possible with spill kits and report the spill to their chain of command. (JTFN)</w:t>
      </w:r>
    </w:p>
    <w:p w:rsidR="001716D7" w:rsidRDefault="001716D7" w:rsidP="001716D7">
      <w:pPr>
        <w:pStyle w:val="Default"/>
        <w:rPr>
          <w:rFonts w:ascii="Calibri" w:hAnsi="Calibri" w:cs="Calibri"/>
          <w:sz w:val="23"/>
          <w:szCs w:val="23"/>
        </w:rPr>
      </w:pPr>
    </w:p>
    <w:p w:rsidR="00637082" w:rsidRDefault="00637082" w:rsidP="00637082">
      <w:pPr>
        <w:pStyle w:val="Default"/>
        <w:rPr>
          <w:sz w:val="23"/>
          <w:szCs w:val="23"/>
        </w:rPr>
      </w:pPr>
    </w:p>
    <w:p w:rsidR="00637082" w:rsidRDefault="00637082" w:rsidP="00637082">
      <w:pPr>
        <w:pStyle w:val="Default"/>
        <w:rPr>
          <w:sz w:val="23"/>
          <w:szCs w:val="23"/>
        </w:rPr>
      </w:pPr>
    </w:p>
    <w:p w:rsidR="00E4387D" w:rsidRPr="00637082" w:rsidRDefault="00E4387D"/>
    <w:sectPr w:rsidR="00E4387D" w:rsidRPr="00637082" w:rsidSect="00E129F1">
      <w:pgSz w:w="12240" w:h="16340"/>
      <w:pgMar w:top="1145" w:right="842" w:bottom="731" w:left="1285"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082"/>
    <w:rsid w:val="001716D7"/>
    <w:rsid w:val="00637082"/>
    <w:rsid w:val="00E4387D"/>
    <w:rsid w:val="00FC05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576A92-1109-4128-9D62-D477488FD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082"/>
    <w:rPr>
      <w:rFonts w:ascii="Calibri" w:hAnsi="Calibri" w:cs="Calibri"/>
      <w:sz w:val="22"/>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637082"/>
    <w:pPr>
      <w:autoSpaceDE w:val="0"/>
      <w:autoSpaceDN w:val="0"/>
      <w:adjustRightInd w:val="0"/>
    </w:pPr>
    <w:rPr>
      <w:rFonts w:cs="Times New Roman"/>
      <w:color w:val="000000"/>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137542">
      <w:bodyDiv w:val="1"/>
      <w:marLeft w:val="0"/>
      <w:marRight w:val="0"/>
      <w:marTop w:val="0"/>
      <w:marBottom w:val="0"/>
      <w:divBdr>
        <w:top w:val="none" w:sz="0" w:space="0" w:color="auto"/>
        <w:left w:val="none" w:sz="0" w:space="0" w:color="auto"/>
        <w:bottom w:val="none" w:sz="0" w:space="0" w:color="auto"/>
        <w:right w:val="none" w:sz="0" w:space="0" w:color="auto"/>
      </w:divBdr>
    </w:div>
    <w:div w:id="379329064">
      <w:bodyDiv w:val="1"/>
      <w:marLeft w:val="0"/>
      <w:marRight w:val="0"/>
      <w:marTop w:val="0"/>
      <w:marBottom w:val="0"/>
      <w:divBdr>
        <w:top w:val="none" w:sz="0" w:space="0" w:color="auto"/>
        <w:left w:val="none" w:sz="0" w:space="0" w:color="auto"/>
        <w:bottom w:val="none" w:sz="0" w:space="0" w:color="auto"/>
        <w:right w:val="none" w:sz="0" w:space="0" w:color="auto"/>
      </w:divBdr>
    </w:div>
    <w:div w:id="925306369">
      <w:bodyDiv w:val="1"/>
      <w:marLeft w:val="0"/>
      <w:marRight w:val="0"/>
      <w:marTop w:val="0"/>
      <w:marBottom w:val="0"/>
      <w:divBdr>
        <w:top w:val="none" w:sz="0" w:space="0" w:color="auto"/>
        <w:left w:val="none" w:sz="0" w:space="0" w:color="auto"/>
        <w:bottom w:val="none" w:sz="0" w:space="0" w:color="auto"/>
        <w:right w:val="none" w:sz="0" w:space="0" w:color="auto"/>
      </w:divBdr>
    </w:div>
    <w:div w:id="1299526975">
      <w:bodyDiv w:val="1"/>
      <w:marLeft w:val="0"/>
      <w:marRight w:val="0"/>
      <w:marTop w:val="0"/>
      <w:marBottom w:val="0"/>
      <w:divBdr>
        <w:top w:val="none" w:sz="0" w:space="0" w:color="auto"/>
        <w:left w:val="none" w:sz="0" w:space="0" w:color="auto"/>
        <w:bottom w:val="none" w:sz="0" w:space="0" w:color="auto"/>
        <w:right w:val="none" w:sz="0" w:space="0" w:color="auto"/>
      </w:divBdr>
    </w:div>
    <w:div w:id="1474177696">
      <w:bodyDiv w:val="1"/>
      <w:marLeft w:val="0"/>
      <w:marRight w:val="0"/>
      <w:marTop w:val="0"/>
      <w:marBottom w:val="0"/>
      <w:divBdr>
        <w:top w:val="none" w:sz="0" w:space="0" w:color="auto"/>
        <w:left w:val="none" w:sz="0" w:space="0" w:color="auto"/>
        <w:bottom w:val="none" w:sz="0" w:space="0" w:color="auto"/>
        <w:right w:val="none" w:sz="0" w:space="0" w:color="auto"/>
      </w:divBdr>
    </w:div>
    <w:div w:id="1773865800">
      <w:bodyDiv w:val="1"/>
      <w:marLeft w:val="0"/>
      <w:marRight w:val="0"/>
      <w:marTop w:val="0"/>
      <w:marBottom w:val="0"/>
      <w:divBdr>
        <w:top w:val="none" w:sz="0" w:space="0" w:color="auto"/>
        <w:left w:val="none" w:sz="0" w:space="0" w:color="auto"/>
        <w:bottom w:val="none" w:sz="0" w:space="0" w:color="auto"/>
        <w:right w:val="none" w:sz="0" w:space="0" w:color="auto"/>
      </w:divBdr>
    </w:div>
    <w:div w:id="189912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972</Words>
  <Characters>5543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Department of National Defence</Company>
  <LinksUpToDate>false</LinksUpToDate>
  <CharactersWithSpaces>6502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Dodik.I</dc:creator>
  <cp:keywords/>
  <dc:description/>
  <cp:lastModifiedBy>Dodik.I</cp:lastModifiedBy>
  <cp:revision>1</cp:revision>
  <dcterms:created xsi:type="dcterms:W3CDTF">2020-02-18T17:15:00Z</dcterms:created>
  <dcterms:modified xsi:type="dcterms:W3CDTF">2020-02-18T17:35:00Z</dcterms:modified>
</cp:coreProperties>
</file>