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87165" w14:textId="5CF5C0EE" w:rsidR="000A21F4" w:rsidRPr="00E8722D" w:rsidRDefault="00486D53" w:rsidP="002964C5">
      <w:pPr>
        <w:pStyle w:val="Heading1"/>
      </w:pPr>
      <w:r w:rsidRPr="00E8722D">
        <w:t>General project overview</w:t>
      </w:r>
    </w:p>
    <w:p w14:paraId="27762871" w14:textId="3F605142" w:rsidR="00486D53" w:rsidRPr="00E8722D" w:rsidRDefault="00486D53" w:rsidP="00486D53">
      <w:pPr>
        <w:spacing w:line="276" w:lineRule="auto"/>
        <w:jc w:val="both"/>
        <w:rPr>
          <w:rFonts w:cs="Times New Roman"/>
        </w:rPr>
      </w:pPr>
      <w:r w:rsidRPr="00E8722D">
        <w:rPr>
          <w:rFonts w:cs="Times New Roman"/>
        </w:rPr>
        <w:t>ISOLATED: Impact of Stability On pLasticity and AdapTation potEntial of Diatoms</w:t>
      </w:r>
    </w:p>
    <w:p w14:paraId="14322890" w14:textId="77777777" w:rsidR="00486D53" w:rsidRPr="00E8722D" w:rsidRDefault="00486D53" w:rsidP="00486D53">
      <w:pPr>
        <w:spacing w:line="276" w:lineRule="auto"/>
        <w:jc w:val="both"/>
        <w:rPr>
          <w:rFonts w:cs="Times New Roman"/>
        </w:rPr>
      </w:pPr>
    </w:p>
    <w:p w14:paraId="4AD0EDA4" w14:textId="7A8C88B4" w:rsidR="00B12BF1" w:rsidRPr="00E8722D" w:rsidRDefault="00486D53" w:rsidP="00B12BF1">
      <w:pPr>
        <w:jc w:val="both"/>
        <w:rPr>
          <w:rFonts w:cs="Times New Roman"/>
          <w:lang w:val="en-US"/>
        </w:rPr>
      </w:pPr>
      <w:r w:rsidRPr="00E8722D">
        <w:rPr>
          <w:rFonts w:cs="Times New Roman"/>
        </w:rPr>
        <w:t xml:space="preserve">Phytoplankton responses to ongoing global warming have profound implications for Earth's processes at many levels. These primary producers are responsible for half of the global oxygen production and are the photosynthetic base of marine food webs. In the Arctic, global warming is progressing at a much faster rate than the global average, impacting the timing of phytoplankton blooms, with cascading effects to higher trophic levels and nutrient fluxes. Especially, summer blooms, dominated by diatoms, are essential for sustaining energy fluxes during the extended Arctic winters. To predict the impact of global warming and forecast the future dynamics of phytoplankton communities, comprehending their adaptation is crucial. Phytoplankton, with their substantial population sizes and rapid generation times, undergo adaptation on a timescale comparable to ecological processes. However, the adaptation potential of Arctic diatoms, contingent upon plasticity and genetic diversity, remains largely unknown. Baffin Bay, characterized by distinct environmental heterogeneity, including summer surface temperature variations between its Canadian and Greenlandic coasts, serves as a natural laboratory to explore the interplay of environmental stability, plasticity, and adaptation potential. Our objective is to quantify the plasticity of the thermal response within the diatom species Thalassiosira hyalina along the temperature gradient within Baffin Bay and thereby clarify the adaptation potential of Arctic diatoms to rising sea surface temperatures. We will also quantify the genetic diversity of T. hyalina in Baffin Bay to investigate the role of the West Greenland Current for diatom population connectivity in the area. Experimental evolution studies have shown that plasticity increases in organisms evolving under fluctuating conditions compared to stable environments. We anticipate that T. hyalina isolated along the Greenland coast exhibits greater plasticity in its thermal response and a higher temperature optimum. Overall, we aim to contribute valuable insights about the mechanisms governing phytoplankton adaptation in natural conditions. We are conducting this research as Visiting Researchers on the Lindblad Expeditions-National Geographic voyage “High Arctic Archipelago: Canada and Greenland” aboard the National Geographic Endurance. We </w:t>
      </w:r>
      <w:r w:rsidR="00415C15" w:rsidRPr="00E8722D">
        <w:rPr>
          <w:rFonts w:cs="Times New Roman"/>
        </w:rPr>
        <w:t>are part of a commercial expedition and thus have no influence over firearm permits and emergency beacons, VHF radios and satellites phones (NKAGSA-1</w:t>
      </w:r>
      <w:r w:rsidR="0065005F" w:rsidRPr="00E8722D">
        <w:rPr>
          <w:rFonts w:cs="Times New Roman"/>
        </w:rPr>
        <w:t xml:space="preserve"> application</w:t>
      </w:r>
      <w:r w:rsidR="00415C15" w:rsidRPr="00E8722D">
        <w:rPr>
          <w:rFonts w:cs="Times New Roman"/>
        </w:rPr>
        <w:t>: Page 5)</w:t>
      </w:r>
      <w:r w:rsidR="0065005F" w:rsidRPr="00E8722D">
        <w:rPr>
          <w:rFonts w:cs="Times New Roman"/>
        </w:rPr>
        <w:t>. Personnel of the expedition equipped with firearms</w:t>
      </w:r>
      <w:r w:rsidR="000008A5" w:rsidRPr="00E8722D">
        <w:rPr>
          <w:rFonts w:cs="Times New Roman"/>
        </w:rPr>
        <w:t xml:space="preserve"> (holding </w:t>
      </w:r>
      <w:r w:rsidR="0065005F" w:rsidRPr="00E8722D">
        <w:rPr>
          <w:rFonts w:cs="Times New Roman"/>
        </w:rPr>
        <w:t>permits</w:t>
      </w:r>
      <w:r w:rsidR="000008A5" w:rsidRPr="00E8722D">
        <w:rPr>
          <w:rFonts w:cs="Times New Roman"/>
        </w:rPr>
        <w:t>)</w:t>
      </w:r>
      <w:r w:rsidR="0065005F" w:rsidRPr="00E8722D">
        <w:rPr>
          <w:rFonts w:cs="Times New Roman"/>
        </w:rPr>
        <w:t xml:space="preserve"> and emergency gear needed will join our sampling efforts</w:t>
      </w:r>
      <w:r w:rsidR="000008A5" w:rsidRPr="00E8722D">
        <w:rPr>
          <w:rFonts w:cs="Times New Roman"/>
        </w:rPr>
        <w:t xml:space="preserve"> at all times</w:t>
      </w:r>
      <w:r w:rsidR="0065005F" w:rsidRPr="00E8722D">
        <w:rPr>
          <w:rFonts w:cs="Times New Roman"/>
        </w:rPr>
        <w:t>.</w:t>
      </w:r>
      <w:r w:rsidR="00B12BF1" w:rsidRPr="00E8722D">
        <w:rPr>
          <w:rFonts w:cs="Times New Roman"/>
        </w:rPr>
        <w:t xml:space="preserve"> </w:t>
      </w:r>
      <w:r w:rsidR="00B12BF1" w:rsidRPr="00E8722D">
        <w:rPr>
          <w:rFonts w:cs="Times New Roman"/>
          <w:lang w:val="en-US"/>
        </w:rPr>
        <w:t xml:space="preserve">Overall, it is </w:t>
      </w:r>
      <w:r w:rsidR="00B12BF1" w:rsidRPr="00E8722D">
        <w:rPr>
          <w:rFonts w:cs="Times New Roman"/>
          <w:b/>
          <w:bCs/>
          <w:lang w:val="en-US"/>
        </w:rPr>
        <w:t>important to point out that this research will be conducted under the operational permits of LEX-NG</w:t>
      </w:r>
      <w:r w:rsidR="00B12BF1" w:rsidRPr="00E8722D">
        <w:rPr>
          <w:rFonts w:cs="Times New Roman"/>
          <w:lang w:val="en-US"/>
        </w:rPr>
        <w:t xml:space="preserve"> and access, as well as safety (especially in terms of polar bears &amp; firearms and communication) falls under their responsibility (for further questions please contact Ashley Knight and the ESC, </w:t>
      </w:r>
      <w:r w:rsidR="00B12BF1" w:rsidRPr="00E8722D">
        <w:rPr>
          <w:rFonts w:cs="Times New Roman"/>
          <w:lang w:val="en-US"/>
          <w14:ligatures w14:val="none"/>
        </w:rPr>
        <w:t>Lindblad Expeditions, Fleet Science/Expedition Science Committee</w:t>
      </w:r>
      <w:r w:rsidR="00B12BF1" w:rsidRPr="00E8722D">
        <w:rPr>
          <w:rFonts w:cs="Times New Roman"/>
          <w:lang w:val="en-US"/>
        </w:rPr>
        <w:t xml:space="preserve">, </w:t>
      </w:r>
      <w:r w:rsidR="00B12BF1" w:rsidRPr="00E8722D">
        <w:rPr>
          <w:rFonts w:cs="Times New Roman"/>
          <w:lang w:val="en-US"/>
          <w14:ligatures w14:val="none"/>
        </w:rPr>
        <w:t>2505 2</w:t>
      </w:r>
      <w:r w:rsidR="00B12BF1" w:rsidRPr="00E8722D">
        <w:rPr>
          <w:rFonts w:cs="Times New Roman"/>
          <w:vertAlign w:val="superscript"/>
          <w:lang w:val="en-US"/>
          <w14:ligatures w14:val="none"/>
        </w:rPr>
        <w:t>nd</w:t>
      </w:r>
      <w:r w:rsidR="00B12BF1" w:rsidRPr="00E8722D">
        <w:rPr>
          <w:rFonts w:cs="Times New Roman"/>
          <w:lang w:val="en-US"/>
          <w14:ligatures w14:val="none"/>
        </w:rPr>
        <w:t xml:space="preserve"> Ave, Suite 300 Seattle, WA. 9810, </w:t>
      </w:r>
      <w:hyperlink r:id="rId6" w:history="1">
        <w:r w:rsidR="00B12BF1" w:rsidRPr="00E8722D">
          <w:rPr>
            <w:rStyle w:val="Hyperlink"/>
            <w:rFonts w:cs="Times New Roman"/>
            <w:color w:val="000000" w:themeColor="text1"/>
            <w:lang w:val="en-US"/>
            <w14:ligatures w14:val="none"/>
          </w:rPr>
          <w:t>science@expeditions.com</w:t>
        </w:r>
      </w:hyperlink>
      <w:r w:rsidR="00B12BF1" w:rsidRPr="00E8722D">
        <w:rPr>
          <w:rFonts w:cs="Times New Roman"/>
          <w:lang w:val="en-US"/>
        </w:rPr>
        <w:t xml:space="preserve">). </w:t>
      </w:r>
    </w:p>
    <w:p w14:paraId="4C3994BA" w14:textId="77777777" w:rsidR="00B12BF1" w:rsidRPr="00E8722D" w:rsidRDefault="00B12BF1" w:rsidP="00B12BF1">
      <w:pPr>
        <w:jc w:val="both"/>
        <w:rPr>
          <w:rFonts w:cs="Times New Roman"/>
          <w:lang w:val="en-US"/>
        </w:rPr>
      </w:pPr>
      <w:r w:rsidRPr="00E8722D">
        <w:rPr>
          <w:rFonts w:cs="Times New Roman"/>
          <w:lang w:val="en-US"/>
        </w:rPr>
        <w:t> </w:t>
      </w:r>
    </w:p>
    <w:p w14:paraId="060D6D0F" w14:textId="3501DAD2" w:rsidR="001613B3" w:rsidRPr="00E8722D" w:rsidRDefault="001613B3">
      <w:pPr>
        <w:rPr>
          <w:rFonts w:cs="Times New Roman"/>
        </w:rPr>
      </w:pPr>
      <w:r w:rsidRPr="00E8722D">
        <w:rPr>
          <w:rFonts w:cs="Times New Roman"/>
        </w:rPr>
        <w:br w:type="page"/>
      </w:r>
    </w:p>
    <w:p w14:paraId="4BEA4673" w14:textId="7AA85BB6" w:rsidR="00415C15" w:rsidRPr="002964C5" w:rsidRDefault="002964C5" w:rsidP="002964C5">
      <w:pPr>
        <w:pStyle w:val="Heading1"/>
      </w:pPr>
      <w:r>
        <w:lastRenderedPageBreak/>
        <w:t>Sampling area</w:t>
      </w:r>
      <w:r w:rsidR="00415C15" w:rsidRPr="00E8722D">
        <w:t xml:space="preserve"> </w:t>
      </w:r>
    </w:p>
    <w:p w14:paraId="0AEC3F4D" w14:textId="77777777" w:rsidR="006C1D46" w:rsidRPr="002964C5" w:rsidRDefault="006C1D46" w:rsidP="00486D53">
      <w:pPr>
        <w:spacing w:line="276" w:lineRule="auto"/>
        <w:jc w:val="both"/>
        <w:rPr>
          <w:rFonts w:cs="Times New Roman"/>
          <w:b/>
          <w:bCs/>
        </w:rPr>
      </w:pPr>
    </w:p>
    <w:p w14:paraId="29EFED69" w14:textId="74A41E6D" w:rsidR="0008419B" w:rsidRPr="00E8722D" w:rsidRDefault="0008419B" w:rsidP="0008419B">
      <w:pPr>
        <w:pStyle w:val="NormalWeb"/>
        <w:spacing w:line="276" w:lineRule="auto"/>
        <w:jc w:val="both"/>
        <w:rPr>
          <w:lang w:eastAsia="en-GB"/>
        </w:rPr>
      </w:pPr>
      <w:r w:rsidRPr="00E8722D">
        <w:rPr>
          <w:lang w:eastAsia="en-GB"/>
        </w:rPr>
        <w:t xml:space="preserve">It's crucial to emphasize that this research is conducted under the operational permits of LEX-NG, with </w:t>
      </w:r>
      <w:proofErr w:type="gramStart"/>
      <w:r w:rsidRPr="00E8722D">
        <w:rPr>
          <w:lang w:eastAsia="en-GB"/>
        </w:rPr>
        <w:t xml:space="preserve">access </w:t>
      </w:r>
      <w:r w:rsidR="002964C5">
        <w:rPr>
          <w:lang w:eastAsia="en-GB"/>
        </w:rPr>
        <w:t>,</w:t>
      </w:r>
      <w:proofErr w:type="gramEnd"/>
      <w:r w:rsidR="002964C5">
        <w:rPr>
          <w:lang w:eastAsia="en-GB"/>
        </w:rPr>
        <w:t xml:space="preserve"> </w:t>
      </w:r>
      <w:r w:rsidRPr="00E8722D">
        <w:rPr>
          <w:lang w:eastAsia="en-GB"/>
        </w:rPr>
        <w:t>safety</w:t>
      </w:r>
      <w:r w:rsidR="002964C5">
        <w:rPr>
          <w:lang w:eastAsia="en-GB"/>
        </w:rPr>
        <w:t xml:space="preserve"> and fuel use </w:t>
      </w:r>
      <w:r w:rsidRPr="00E8722D">
        <w:rPr>
          <w:lang w:eastAsia="en-GB"/>
        </w:rPr>
        <w:t>falling under their purview. For further inquiries regarding permits and safety measures, please direct your questions to Ashley Knight and the ESC (Expedition Science Committee) at Lindblad Expeditions, located at 2505 2nd Ave, Suite 300, Seattle, WA 9810, or email science@expeditions.com.</w:t>
      </w:r>
    </w:p>
    <w:p w14:paraId="0EE91A7E" w14:textId="74E3195C" w:rsidR="0008419B" w:rsidRDefault="0008419B" w:rsidP="00486D53">
      <w:pPr>
        <w:spacing w:line="276" w:lineRule="auto"/>
        <w:jc w:val="both"/>
        <w:rPr>
          <w:rFonts w:cs="Times New Roman"/>
        </w:rPr>
      </w:pPr>
      <w:r w:rsidRPr="007610E5">
        <w:rPr>
          <w:rFonts w:cs="Times New Roman"/>
          <w:lang w:eastAsia="en-GB"/>
        </w:rPr>
        <w:t>This arrangement also means that we have limited information on the precise travel route and no control over it. Therefore, we have requested access to wide-ranging areas to ensure the flexibility needed for sampling wherever the expedition stops, thereby promising the best possible outcome from our extensive efforts.</w:t>
      </w:r>
      <w:r w:rsidRPr="00E8722D">
        <w:rPr>
          <w:rFonts w:cs="Times New Roman"/>
          <w:lang w:eastAsia="en-GB"/>
        </w:rPr>
        <w:t xml:space="preserve"> </w:t>
      </w:r>
      <w:r w:rsidRPr="00E8722D">
        <w:rPr>
          <w:rFonts w:cs="Times New Roman"/>
        </w:rPr>
        <w:t>The actual sampling area is constrained to a maximum of 20m², and the sampling of phytoplankton is a non-destructive sampling practice.</w:t>
      </w:r>
    </w:p>
    <w:p w14:paraId="3F279B7A" w14:textId="77777777" w:rsidR="002964C5" w:rsidRPr="00E8722D" w:rsidRDefault="002964C5" w:rsidP="00486D53">
      <w:pPr>
        <w:spacing w:line="276" w:lineRule="auto"/>
        <w:jc w:val="both"/>
        <w:rPr>
          <w:rFonts w:cs="Times New Roman"/>
          <w:b/>
          <w:bCs/>
        </w:rPr>
      </w:pPr>
    </w:p>
    <w:p w14:paraId="7F3A173F" w14:textId="5730325C" w:rsidR="00415C15" w:rsidRPr="00E8722D" w:rsidRDefault="00415C15" w:rsidP="002964C5">
      <w:pPr>
        <w:pStyle w:val="Heading1"/>
      </w:pPr>
      <w:r w:rsidRPr="00E8722D">
        <w:t>Field plan and methods</w:t>
      </w:r>
    </w:p>
    <w:p w14:paraId="4ACC2E5B" w14:textId="77777777" w:rsidR="00927B97" w:rsidRPr="00E8722D" w:rsidRDefault="00927B97" w:rsidP="00927B97">
      <w:pPr>
        <w:spacing w:before="100" w:beforeAutospacing="1" w:after="100" w:afterAutospacing="1"/>
        <w:jc w:val="both"/>
        <w:rPr>
          <w:rFonts w:cs="Times New Roman"/>
        </w:rPr>
      </w:pPr>
      <w:r w:rsidRPr="00E8722D">
        <w:rPr>
          <w:rFonts w:cs="Times New Roman"/>
        </w:rPr>
        <w:t>At each sampling location, we will conduct a single sampling event to capture a broader diversity by implementing</w:t>
      </w:r>
      <w:r w:rsidRPr="00E8722D">
        <w:rPr>
          <w:rFonts w:cs="Times New Roman"/>
          <w:b/>
          <w:bCs/>
        </w:rPr>
        <w:t xml:space="preserve"> vertical tows with a plankton net. </w:t>
      </w:r>
      <w:r w:rsidRPr="00E8722D">
        <w:rPr>
          <w:rFonts w:cs="Times New Roman"/>
        </w:rPr>
        <w:t>The depth of each tow will be up to 20 meters, adjusted based on the depth of the sampling location and the secchi-depth measured. Following field sampling guidelines, we will start the plankton tow at a maximum depth of 2 times the secchi depth. The collected water will be stored in separate bottles with a total volume of up to 1 liter.</w:t>
      </w:r>
    </w:p>
    <w:p w14:paraId="7DD4A6D2" w14:textId="77777777" w:rsidR="00927B97" w:rsidRPr="00E8722D" w:rsidRDefault="00927B97" w:rsidP="00927B97">
      <w:pPr>
        <w:spacing w:before="100" w:beforeAutospacing="1" w:after="100" w:afterAutospacing="1"/>
        <w:jc w:val="both"/>
        <w:rPr>
          <w:rFonts w:cs="Times New Roman"/>
        </w:rPr>
      </w:pPr>
      <w:r w:rsidRPr="00E8722D">
        <w:rPr>
          <w:rFonts w:cs="Times New Roman"/>
        </w:rPr>
        <w:t xml:space="preserve">Additionally, we will collect 8 liters of </w:t>
      </w:r>
      <w:r w:rsidRPr="00E8722D">
        <w:rPr>
          <w:rFonts w:cs="Times New Roman"/>
          <w:b/>
          <w:bCs/>
        </w:rPr>
        <w:t>surface samples</w:t>
      </w:r>
      <w:r w:rsidRPr="00E8722D">
        <w:rPr>
          <w:rFonts w:cs="Times New Roman"/>
        </w:rPr>
        <w:t xml:space="preserve"> (0m) to assess environmental parameters such as nutrient levels, salinity, temperature, and pH, as well as 2 liters for DNA filters.</w:t>
      </w:r>
    </w:p>
    <w:p w14:paraId="62648306" w14:textId="77777777" w:rsidR="00927B97" w:rsidRPr="00E8722D" w:rsidRDefault="00927B97" w:rsidP="00927B97">
      <w:pPr>
        <w:spacing w:line="276" w:lineRule="auto"/>
        <w:jc w:val="both"/>
        <w:rPr>
          <w:rFonts w:cs="Times New Roman"/>
          <w:b/>
          <w:bCs/>
        </w:rPr>
      </w:pPr>
      <w:r w:rsidRPr="00E8722D">
        <w:rPr>
          <w:rFonts w:cs="Times New Roman"/>
          <w:b/>
          <w:bCs/>
        </w:rPr>
        <w:t>We are thus collecting a total of 11L of seawater at each sampling location.</w:t>
      </w:r>
    </w:p>
    <w:p w14:paraId="46AFD3FE" w14:textId="5C747E9E" w:rsidR="00927B97" w:rsidRPr="00E8722D" w:rsidRDefault="00927B97" w:rsidP="00927B97">
      <w:pPr>
        <w:spacing w:before="100" w:beforeAutospacing="1" w:after="100" w:afterAutospacing="1"/>
        <w:jc w:val="both"/>
        <w:rPr>
          <w:rFonts w:cs="Times New Roman"/>
        </w:rPr>
      </w:pPr>
      <w:r w:rsidRPr="00E8722D">
        <w:rPr>
          <w:rFonts w:cs="Times New Roman"/>
        </w:rPr>
        <w:t xml:space="preserve">On board of the ship, the collected water will be processed as following: </w:t>
      </w:r>
    </w:p>
    <w:p w14:paraId="2B2C225C" w14:textId="2CFA41E9" w:rsidR="00927B97" w:rsidRPr="00E8722D" w:rsidRDefault="00927B97" w:rsidP="00927B97">
      <w:pPr>
        <w:spacing w:before="100" w:beforeAutospacing="1" w:after="100" w:afterAutospacing="1"/>
        <w:jc w:val="both"/>
        <w:rPr>
          <w:rFonts w:cs="Times New Roman"/>
        </w:rPr>
      </w:pPr>
      <w:r w:rsidRPr="00E8722D">
        <w:rPr>
          <w:rFonts w:cs="Times New Roman"/>
        </w:rPr>
        <w:t xml:space="preserve"> From t</w:t>
      </w:r>
      <w:r w:rsidR="00467BDA" w:rsidRPr="00E8722D">
        <w:rPr>
          <w:rFonts w:cs="Times New Roman"/>
        </w:rPr>
        <w:t>h</w:t>
      </w:r>
      <w:r w:rsidRPr="00E8722D">
        <w:rPr>
          <w:rFonts w:cs="Times New Roman"/>
        </w:rPr>
        <w:t>e plankton tows, 20 single 15ml falcon tubes will be filled with subsamples of the community. This allows for the longer-term cultivation of the communities and isolation of single independent individuals of diatoms. Single cells of diatoms will be isolated from seawater using a micropipette under an inverted light microscope and established into monocultures</w:t>
      </w:r>
      <w:r w:rsidR="00BE5059" w:rsidRPr="00E8722D">
        <w:rPr>
          <w:rFonts w:cs="Times New Roman"/>
        </w:rPr>
        <w:t xml:space="preserve"> (up to 48 individuals per station)</w:t>
      </w:r>
      <w:r w:rsidRPr="00E8722D">
        <w:rPr>
          <w:rFonts w:cs="Times New Roman"/>
        </w:rPr>
        <w:t xml:space="preserve">. The targeted diatom species is </w:t>
      </w:r>
      <w:r w:rsidRPr="00E8722D">
        <w:rPr>
          <w:rFonts w:cs="Times New Roman"/>
          <w:i/>
          <w:iCs/>
        </w:rPr>
        <w:t>Thalassiosira hyalina</w:t>
      </w:r>
      <w:r w:rsidRPr="00E8722D">
        <w:rPr>
          <w:rFonts w:cs="Times New Roman"/>
        </w:rPr>
        <w:t xml:space="preserve"> due to its wide distribution range in arctic and subarctic areas, and its suitability for genetic analysis. If </w:t>
      </w:r>
      <w:r w:rsidRPr="00E8722D">
        <w:rPr>
          <w:rFonts w:cs="Times New Roman"/>
          <w:i/>
          <w:iCs/>
        </w:rPr>
        <w:t>T. hyalina</w:t>
      </w:r>
      <w:r w:rsidRPr="00E8722D">
        <w:rPr>
          <w:rFonts w:cs="Times New Roman"/>
        </w:rPr>
        <w:t xml:space="preserve"> cannot be found, we will target other diatom or phytoplankton species across the entire latitudinal gradient.</w:t>
      </w:r>
    </w:p>
    <w:p w14:paraId="572EEC40" w14:textId="77777777" w:rsidR="00927B97" w:rsidRPr="00E8722D" w:rsidRDefault="00927B97" w:rsidP="00927B97">
      <w:pPr>
        <w:spacing w:before="100" w:beforeAutospacing="1" w:after="100" w:afterAutospacing="1"/>
        <w:jc w:val="both"/>
        <w:rPr>
          <w:rFonts w:cs="Times New Roman"/>
        </w:rPr>
      </w:pPr>
      <w:r w:rsidRPr="00E8722D">
        <w:rPr>
          <w:rFonts w:cs="Times New Roman"/>
        </w:rPr>
        <w:t xml:space="preserve">The remaining water will be filtered onto six 10 μm membrane filters (Supor). DNA samples will be stored at -20°C and later analyzed using Microsatellite PoolSeq Barcoding (MPB), a method successfully applied to </w:t>
      </w:r>
      <w:r w:rsidRPr="00E8722D">
        <w:rPr>
          <w:rFonts w:cs="Times New Roman"/>
          <w:i/>
          <w:iCs/>
        </w:rPr>
        <w:t>T. hyalina</w:t>
      </w:r>
      <w:r w:rsidRPr="00E8722D">
        <w:rPr>
          <w:rFonts w:cs="Times New Roman"/>
        </w:rPr>
        <w:t xml:space="preserve"> populations. From these analyses, we will calculate expected and observed heterozygosity (He and Ho) to assess deviations from Hardy–Weinberg equilibrium within each station and determine population differentiation (FST) among stations. Population structure will be tested via a Bayesian clustering analysis.</w:t>
      </w:r>
    </w:p>
    <w:p w14:paraId="5332C758" w14:textId="77777777" w:rsidR="001613B3" w:rsidRPr="00E8722D" w:rsidRDefault="001613B3" w:rsidP="0065005F">
      <w:pPr>
        <w:spacing w:line="276" w:lineRule="auto"/>
        <w:jc w:val="both"/>
        <w:rPr>
          <w:rFonts w:cs="Times New Roman"/>
        </w:rPr>
      </w:pPr>
    </w:p>
    <w:p w14:paraId="74BEB404" w14:textId="7756A5D3" w:rsidR="00415C15" w:rsidRPr="00E8722D" w:rsidRDefault="00415C15" w:rsidP="002964C5">
      <w:pPr>
        <w:pStyle w:val="Heading1"/>
      </w:pPr>
      <w:r w:rsidRPr="00E8722D">
        <w:lastRenderedPageBreak/>
        <w:t xml:space="preserve">Storage, </w:t>
      </w:r>
      <w:proofErr w:type="gramStart"/>
      <w:r w:rsidRPr="00E8722D">
        <w:t>transport</w:t>
      </w:r>
      <w:proofErr w:type="gramEnd"/>
      <w:r w:rsidRPr="00E8722D">
        <w:t xml:space="preserve"> and curation plan of scientific samples</w:t>
      </w:r>
    </w:p>
    <w:p w14:paraId="6119B5BC" w14:textId="77777777" w:rsidR="00927B97" w:rsidRPr="00E8722D" w:rsidRDefault="00927B97" w:rsidP="00486D53">
      <w:pPr>
        <w:spacing w:line="276" w:lineRule="auto"/>
        <w:jc w:val="both"/>
        <w:rPr>
          <w:rFonts w:cs="Times New Roman"/>
          <w:b/>
          <w:bCs/>
        </w:rPr>
      </w:pPr>
    </w:p>
    <w:p w14:paraId="321BB683" w14:textId="5DEEB93B" w:rsidR="00BE5059" w:rsidRPr="00E8722D" w:rsidRDefault="00BE5059" w:rsidP="00A22D87">
      <w:pPr>
        <w:spacing w:line="276" w:lineRule="auto"/>
        <w:jc w:val="both"/>
        <w:rPr>
          <w:rFonts w:cs="Times New Roman"/>
        </w:rPr>
      </w:pPr>
      <w:r w:rsidRPr="00E8722D">
        <w:rPr>
          <w:rFonts w:cs="Times New Roman"/>
        </w:rPr>
        <w:t>DNA- samples</w:t>
      </w:r>
      <w:r w:rsidR="005110F9" w:rsidRPr="00E8722D">
        <w:rPr>
          <w:rFonts w:cs="Times New Roman"/>
        </w:rPr>
        <w:t xml:space="preserve"> and water samples collected for nutrient analysis</w:t>
      </w:r>
      <w:r w:rsidRPr="00E8722D">
        <w:rPr>
          <w:rFonts w:cs="Times New Roman"/>
        </w:rPr>
        <w:t xml:space="preserve"> will be stored at – 20 °C and send back to Finnland on dry ice. In Finland</w:t>
      </w:r>
      <w:r w:rsidR="005110F9" w:rsidRPr="00E8722D">
        <w:rPr>
          <w:rFonts w:cs="Times New Roman"/>
        </w:rPr>
        <w:t>,</w:t>
      </w:r>
      <w:r w:rsidRPr="00E8722D">
        <w:rPr>
          <w:rFonts w:cs="Times New Roman"/>
        </w:rPr>
        <w:t xml:space="preserve"> th</w:t>
      </w:r>
      <w:r w:rsidR="005110F9" w:rsidRPr="00E8722D">
        <w:rPr>
          <w:rFonts w:cs="Times New Roman"/>
        </w:rPr>
        <w:t>e DNA samples</w:t>
      </w:r>
      <w:r w:rsidRPr="00E8722D">
        <w:rPr>
          <w:rFonts w:cs="Times New Roman"/>
        </w:rPr>
        <w:t xml:space="preserve"> will be stored at -80°C until analysis</w:t>
      </w:r>
      <w:r w:rsidR="005110F9" w:rsidRPr="00E8722D">
        <w:rPr>
          <w:rFonts w:cs="Times New Roman"/>
        </w:rPr>
        <w:t xml:space="preserve"> and the Nutrient samples at -20°C. </w:t>
      </w:r>
      <w:r w:rsidR="006B3011" w:rsidRPr="00E8722D">
        <w:rPr>
          <w:rFonts w:cs="Times New Roman"/>
          <w:b/>
          <w:bCs/>
          <w:kern w:val="0"/>
        </w:rPr>
        <w:t>All samples will be sent back to Finland for further processing at the end of the expedition.</w:t>
      </w:r>
    </w:p>
    <w:p w14:paraId="198F542F" w14:textId="04CA786D" w:rsidR="00BE5059" w:rsidRPr="00E8722D" w:rsidRDefault="00BE5059" w:rsidP="00A22D87">
      <w:pPr>
        <w:spacing w:line="276" w:lineRule="auto"/>
        <w:jc w:val="both"/>
        <w:rPr>
          <w:rFonts w:cs="Times New Roman"/>
        </w:rPr>
      </w:pPr>
    </w:p>
    <w:p w14:paraId="0A8D7B8D" w14:textId="29BED505" w:rsidR="00BE5059" w:rsidRPr="00E8722D" w:rsidRDefault="00BE5059" w:rsidP="00A22D87">
      <w:pPr>
        <w:spacing w:line="276" w:lineRule="auto"/>
        <w:jc w:val="both"/>
        <w:rPr>
          <w:rFonts w:cs="Times New Roman"/>
        </w:rPr>
      </w:pPr>
      <w:r w:rsidRPr="00E8722D">
        <w:rPr>
          <w:rFonts w:cs="Times New Roman"/>
        </w:rPr>
        <w:t xml:space="preserve">The </w:t>
      </w:r>
      <w:r w:rsidR="005110F9" w:rsidRPr="00E8722D">
        <w:rPr>
          <w:rFonts w:cs="Times New Roman"/>
        </w:rPr>
        <w:t>isolated species and plankton howl samples distributed into 15ml falcon tubes will be kept in an 18:4 h light:dark cycle in a fridge at 2°C to provide a sufficient environment for growth. The Isolates will be transported back to Finland in small cold boxes that can be taken on the plane</w:t>
      </w:r>
      <w:r w:rsidR="00B71A67" w:rsidRPr="00E8722D">
        <w:rPr>
          <w:rFonts w:cs="Times New Roman"/>
        </w:rPr>
        <w:t>, and the rest of the taken samples will be sent</w:t>
      </w:r>
      <w:r w:rsidR="005110F9" w:rsidRPr="00E8722D">
        <w:rPr>
          <w:rFonts w:cs="Times New Roman"/>
        </w:rPr>
        <w:t xml:space="preserve"> by post. These samples can be </w:t>
      </w:r>
      <w:r w:rsidR="00B71A67" w:rsidRPr="00E8722D">
        <w:rPr>
          <w:rFonts w:cs="Times New Roman"/>
        </w:rPr>
        <w:t>utilized to isolate further species upon</w:t>
      </w:r>
      <w:r w:rsidR="005110F9" w:rsidRPr="00E8722D">
        <w:rPr>
          <w:rFonts w:cs="Times New Roman"/>
        </w:rPr>
        <w:t xml:space="preserve"> returning to </w:t>
      </w:r>
      <w:r w:rsidR="00B71A67" w:rsidRPr="00E8722D">
        <w:rPr>
          <w:rFonts w:cs="Times New Roman"/>
        </w:rPr>
        <w:t>Finland</w:t>
      </w:r>
      <w:r w:rsidR="005110F9" w:rsidRPr="00E8722D">
        <w:rPr>
          <w:rFonts w:cs="Times New Roman"/>
        </w:rPr>
        <w:t xml:space="preserve">. The isolated species that successfully establish </w:t>
      </w:r>
      <w:r w:rsidR="00B71A67" w:rsidRPr="00E8722D">
        <w:rPr>
          <w:rFonts w:cs="Times New Roman"/>
        </w:rPr>
        <w:t>into</w:t>
      </w:r>
      <w:r w:rsidR="005110F9" w:rsidRPr="00E8722D">
        <w:rPr>
          <w:rFonts w:cs="Times New Roman"/>
        </w:rPr>
        <w:t xml:space="preserve"> monocultures will be maintained in the lab</w:t>
      </w:r>
      <w:r w:rsidR="00B71A67" w:rsidRPr="00E8722D">
        <w:rPr>
          <w:rFonts w:cs="Times New Roman"/>
        </w:rPr>
        <w:t>.</w:t>
      </w:r>
      <w:r w:rsidR="006B3011" w:rsidRPr="00E8722D">
        <w:rPr>
          <w:rFonts w:cs="Times New Roman"/>
        </w:rPr>
        <w:t xml:space="preserve"> The cultures are transferred once a month to give them fresh media and spur a new exponential groeth phase.</w:t>
      </w:r>
      <w:r w:rsidR="00B71A67" w:rsidRPr="00E8722D">
        <w:rPr>
          <w:rFonts w:cs="Times New Roman"/>
        </w:rPr>
        <w:t xml:space="preserve"> After confirming their species identity with metabarcoding, </w:t>
      </w:r>
      <w:r w:rsidR="006B3011" w:rsidRPr="00E8722D">
        <w:rPr>
          <w:rFonts w:cs="Times New Roman"/>
        </w:rPr>
        <w:t>the cultures are sent to Roscoff Culture Collection (RCC) at the Roscoff Biological Station in Brittany, France for continued maintenance and potential distribution for future research. In this way the cultures are accessible to anyone wishing to use them for scientific purposes.</w:t>
      </w:r>
    </w:p>
    <w:p w14:paraId="488E2F9D" w14:textId="77777777" w:rsidR="006B3011" w:rsidRPr="00E8722D" w:rsidRDefault="006B3011" w:rsidP="006B3011">
      <w:pPr>
        <w:jc w:val="both"/>
        <w:rPr>
          <w:rFonts w:cs="Times New Roman"/>
        </w:rPr>
      </w:pPr>
    </w:p>
    <w:p w14:paraId="11C5705B" w14:textId="77777777" w:rsidR="006B3011" w:rsidRPr="00E8722D" w:rsidRDefault="006B3011" w:rsidP="006B3011">
      <w:pPr>
        <w:spacing w:line="276" w:lineRule="auto"/>
        <w:jc w:val="both"/>
        <w:rPr>
          <w:rFonts w:cs="Times New Roman"/>
          <w:b/>
          <w:bCs/>
        </w:rPr>
      </w:pPr>
      <w:r w:rsidRPr="00E8722D">
        <w:rPr>
          <w:rFonts w:cs="Times New Roman"/>
          <w:b/>
          <w:bCs/>
        </w:rPr>
        <w:t>Our project budget prioritizes the long-term conservation and management of the culture strains collected. We allocate funds for establishing cultures, and training personnel in their handling. Additionally, resources are set aside for sharing cultures with the scientific community by sending the cultures to RCC. These measures ensure the responsible stewardship of diatom cultures for ongoing research efforts.</w:t>
      </w:r>
    </w:p>
    <w:p w14:paraId="1A50506F" w14:textId="77777777" w:rsidR="006B3011" w:rsidRPr="00E8722D" w:rsidRDefault="006B3011" w:rsidP="00A22D87">
      <w:pPr>
        <w:spacing w:line="276" w:lineRule="auto"/>
        <w:jc w:val="both"/>
        <w:rPr>
          <w:rFonts w:cs="Times New Roman"/>
        </w:rPr>
      </w:pPr>
    </w:p>
    <w:p w14:paraId="7D997D78" w14:textId="4769C8F9" w:rsidR="00B71A67" w:rsidRPr="002964C5" w:rsidRDefault="00B71A67" w:rsidP="00A22D87">
      <w:pPr>
        <w:spacing w:line="276" w:lineRule="auto"/>
        <w:jc w:val="both"/>
        <w:rPr>
          <w:rFonts w:cs="Times New Roman"/>
        </w:rPr>
      </w:pPr>
      <w:r w:rsidRPr="00E8722D">
        <w:rPr>
          <w:rFonts w:cs="Times New Roman"/>
        </w:rPr>
        <w:t xml:space="preserve">We will use the established cultures to assess termal performance curves. More precisely, four replicates of the eight strains per station are subjected to increasing temperature ranges (0 to 14 °C, by 2°C increments; Supl. Fig. 6b) at Husö Biological Station, using incubators tailored for this purpose (Supl. Fig. 7). The </w:t>
      </w:r>
      <w:r w:rsidRPr="00E8722D">
        <w:rPr>
          <w:rFonts w:cs="Times New Roman"/>
          <w:i/>
          <w:iCs/>
        </w:rPr>
        <w:t>in vivo</w:t>
      </w:r>
      <w:r w:rsidRPr="00E8722D">
        <w:rPr>
          <w:rFonts w:cs="Times New Roman"/>
        </w:rPr>
        <w:t xml:space="preserve"> fluorescence of chl </w:t>
      </w:r>
      <m:oMath>
        <m:r>
          <w:rPr>
            <w:rFonts w:ascii="Cambria Math" w:hAnsi="Cambria Math" w:cs="Times New Roman"/>
          </w:rPr>
          <m:t>α</m:t>
        </m:r>
      </m:oMath>
      <w:r w:rsidRPr="00E8722D">
        <w:rPr>
          <w:rFonts w:cs="Times New Roman"/>
        </w:rPr>
        <w:t xml:space="preserve"> is measured daily using Spark Multimode Microplate Reader (Tecan). The growth rate of the different strains will be calculated from chl </w:t>
      </w:r>
      <w:r w:rsidRPr="00E8722D">
        <w:rPr>
          <w:rFonts w:cs="Times New Roman"/>
          <w:i/>
          <w:iCs/>
        </w:rPr>
        <w:t>a</w:t>
      </w:r>
      <w:r w:rsidRPr="00E8722D">
        <w:rPr>
          <w:rFonts w:cs="Times New Roman"/>
        </w:rPr>
        <w:t xml:space="preserve"> using the package </w:t>
      </w:r>
      <w:r w:rsidRPr="00E8722D">
        <w:rPr>
          <w:rFonts w:cs="Times New Roman"/>
          <w:i/>
          <w:iCs/>
        </w:rPr>
        <w:t>growthrates</w:t>
      </w:r>
      <w:r w:rsidRPr="00E8722D">
        <w:rPr>
          <w:rFonts w:cs="Times New Roman"/>
        </w:rPr>
        <w:t xml:space="preserve"> in R. The calculated growth rates are plotted against temperature and thermal performance curves are fitted using the </w:t>
      </w:r>
      <w:r w:rsidRPr="00E8722D">
        <w:rPr>
          <w:rFonts w:cs="Times New Roman"/>
          <w:i/>
          <w:iCs/>
        </w:rPr>
        <w:t>rTPC</w:t>
      </w:r>
      <w:r w:rsidRPr="00E8722D">
        <w:rPr>
          <w:rFonts w:cs="Times New Roman"/>
        </w:rPr>
        <w:t xml:space="preserve"> packagein R. The best fitted model is chosen by using the mean growth rate per temperature of each strain. For each strain, confidence intervals of estimated parameters are produced by bootstrapping. Turkeys HSD is used to test if the estimated parameters optimum temperature (T</w:t>
      </w:r>
      <w:r w:rsidRPr="00E8722D">
        <w:rPr>
          <w:rFonts w:cs="Times New Roman"/>
          <w:vertAlign w:val="subscript"/>
        </w:rPr>
        <w:t>opt</w:t>
      </w:r>
      <w:r w:rsidRPr="00E8722D">
        <w:rPr>
          <w:rFonts w:cs="Times New Roman"/>
        </w:rPr>
        <w:t>), lower and upper temperature limit (T</w:t>
      </w:r>
      <w:r w:rsidRPr="00E8722D">
        <w:rPr>
          <w:rFonts w:cs="Times New Roman"/>
          <w:vertAlign w:val="subscript"/>
        </w:rPr>
        <w:t>min</w:t>
      </w:r>
      <w:r w:rsidRPr="00E8722D">
        <w:rPr>
          <w:rFonts w:cs="Times New Roman"/>
        </w:rPr>
        <w:t xml:space="preserve"> and T</w:t>
      </w:r>
      <w:r w:rsidRPr="00E8722D">
        <w:rPr>
          <w:rFonts w:cs="Times New Roman"/>
          <w:vertAlign w:val="subscript"/>
        </w:rPr>
        <w:t>max</w:t>
      </w:r>
      <w:r w:rsidRPr="00E8722D">
        <w:rPr>
          <w:rFonts w:cs="Times New Roman"/>
        </w:rPr>
        <w:t>) and maximum growth rate (µ</w:t>
      </w:r>
      <w:r w:rsidRPr="00E8722D">
        <w:rPr>
          <w:rFonts w:cs="Times New Roman"/>
          <w:vertAlign w:val="subscript"/>
        </w:rPr>
        <w:t>max</w:t>
      </w:r>
      <w:r w:rsidRPr="00E8722D">
        <w:rPr>
          <w:rFonts w:cs="Times New Roman"/>
        </w:rPr>
        <w:t>) differ significantly between the strains.</w:t>
      </w:r>
    </w:p>
    <w:p w14:paraId="1F9273EA" w14:textId="1C620A7A" w:rsidR="00FA2A13" w:rsidRPr="00E8722D" w:rsidRDefault="00B71A67" w:rsidP="002964C5">
      <w:pPr>
        <w:pStyle w:val="Bibliography"/>
        <w:spacing w:line="276" w:lineRule="auto"/>
        <w:jc w:val="both"/>
        <w:rPr>
          <w:rFonts w:cs="Times New Roman"/>
          <w:lang w:val="en-US"/>
        </w:rPr>
      </w:pPr>
      <w:proofErr w:type="spellStart"/>
      <w:r w:rsidRPr="00E8722D">
        <w:rPr>
          <w:rFonts w:cs="Times New Roman"/>
        </w:rPr>
        <w:t>More over</w:t>
      </w:r>
      <w:proofErr w:type="spellEnd"/>
      <w:r w:rsidRPr="00E8722D">
        <w:rPr>
          <w:rFonts w:cs="Times New Roman"/>
        </w:rPr>
        <w:t xml:space="preserve"> we aim to compliment </w:t>
      </w:r>
      <w:proofErr w:type="gramStart"/>
      <w:r w:rsidRPr="00E8722D">
        <w:rPr>
          <w:rFonts w:cs="Times New Roman"/>
        </w:rPr>
        <w:t>this  analysis</w:t>
      </w:r>
      <w:proofErr w:type="gramEnd"/>
      <w:r w:rsidRPr="00E8722D">
        <w:rPr>
          <w:rFonts w:cs="Times New Roman"/>
        </w:rPr>
        <w:t xml:space="preserve">  by a laboratory experiment simulating</w:t>
      </w:r>
      <w:r w:rsidR="00A22D87" w:rsidRPr="00E8722D">
        <w:rPr>
          <w:rFonts w:cs="Times New Roman"/>
        </w:rPr>
        <w:t xml:space="preserve"> in the laboratory</w:t>
      </w:r>
      <w:r w:rsidRPr="00E8722D">
        <w:rPr>
          <w:rFonts w:cs="Times New Roman"/>
        </w:rPr>
        <w:t xml:space="preserve"> the </w:t>
      </w:r>
      <w:r w:rsidR="00A22D87" w:rsidRPr="00E8722D">
        <w:rPr>
          <w:rFonts w:cs="Times New Roman"/>
        </w:rPr>
        <w:t>dispersal</w:t>
      </w:r>
      <w:r w:rsidRPr="00E8722D">
        <w:rPr>
          <w:rFonts w:cs="Times New Roman"/>
        </w:rPr>
        <w:t xml:space="preserve"> of strains under todays and future SST. The three low latitude strains with the highest thermal optima are identified. A laboratory experiment is initiated by introducing 100 cells of these strains into a population of high latitude strains, which are growing exponentially (Supl. Fig. 8). Three replicates of each population are maintained at a ambient 2°C, while three others are subjected to a future scenario of 7°C. All populations are cultured for three weeks in semi-continuous batch cycles, with fresh media inoculated weekly with the previous batch's population. Lastly, the establishment success of each strain is quantified using the MPB approach.</w:t>
      </w:r>
    </w:p>
    <w:sectPr w:rsidR="00FA2A13" w:rsidRPr="00E8722D" w:rsidSect="005B0319">
      <w:head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6D8DC" w14:textId="77777777" w:rsidR="005B0319" w:rsidRDefault="005B0319" w:rsidP="00486D53">
      <w:r>
        <w:separator/>
      </w:r>
    </w:p>
  </w:endnote>
  <w:endnote w:type="continuationSeparator" w:id="0">
    <w:p w14:paraId="5EF341DC" w14:textId="77777777" w:rsidR="005B0319" w:rsidRDefault="005B0319" w:rsidP="00486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Body CS)">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Myriad Pro Light">
    <w:altName w:val="Segoe UI Light"/>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4B492" w14:textId="77777777" w:rsidR="005B0319" w:rsidRDefault="005B0319" w:rsidP="00486D53">
      <w:r>
        <w:separator/>
      </w:r>
    </w:p>
  </w:footnote>
  <w:footnote w:type="continuationSeparator" w:id="0">
    <w:p w14:paraId="76B1F844" w14:textId="77777777" w:rsidR="005B0319" w:rsidRDefault="005B0319" w:rsidP="00486D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E7A1E" w14:textId="4E193A24" w:rsidR="00486D53" w:rsidRDefault="002964C5">
    <w:pPr>
      <w:pStyle w:val="Header"/>
    </w:pPr>
    <w:r>
      <w:t>Project Plan</w:t>
    </w:r>
  </w:p>
  <w:p w14:paraId="69317DEA" w14:textId="17ACD812" w:rsidR="00981826" w:rsidRDefault="00981826">
    <w:pPr>
      <w:pStyle w:val="Header"/>
    </w:pPr>
    <w:r>
      <w:t>Applicant Giannina Hattich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D53"/>
    <w:rsid w:val="000008A5"/>
    <w:rsid w:val="00035BDD"/>
    <w:rsid w:val="00043F7F"/>
    <w:rsid w:val="0008419B"/>
    <w:rsid w:val="000A21F4"/>
    <w:rsid w:val="000C205A"/>
    <w:rsid w:val="000D4F44"/>
    <w:rsid w:val="00136DCD"/>
    <w:rsid w:val="00142538"/>
    <w:rsid w:val="001613B3"/>
    <w:rsid w:val="001A391F"/>
    <w:rsid w:val="001A7E5E"/>
    <w:rsid w:val="001D4833"/>
    <w:rsid w:val="00236441"/>
    <w:rsid w:val="0027011C"/>
    <w:rsid w:val="002964C5"/>
    <w:rsid w:val="002B1EA7"/>
    <w:rsid w:val="003107AD"/>
    <w:rsid w:val="00330986"/>
    <w:rsid w:val="00334194"/>
    <w:rsid w:val="00385613"/>
    <w:rsid w:val="003F2CAE"/>
    <w:rsid w:val="00401D76"/>
    <w:rsid w:val="004126C2"/>
    <w:rsid w:val="00415C15"/>
    <w:rsid w:val="0042004F"/>
    <w:rsid w:val="004221FB"/>
    <w:rsid w:val="00467BDA"/>
    <w:rsid w:val="00486D53"/>
    <w:rsid w:val="00491283"/>
    <w:rsid w:val="004B34CA"/>
    <w:rsid w:val="005110F9"/>
    <w:rsid w:val="005B0319"/>
    <w:rsid w:val="005C05B8"/>
    <w:rsid w:val="005C64FD"/>
    <w:rsid w:val="005E44CA"/>
    <w:rsid w:val="00624638"/>
    <w:rsid w:val="006377CE"/>
    <w:rsid w:val="00641D9B"/>
    <w:rsid w:val="0065005F"/>
    <w:rsid w:val="006B3011"/>
    <w:rsid w:val="006C1D46"/>
    <w:rsid w:val="006D6A26"/>
    <w:rsid w:val="006F5E24"/>
    <w:rsid w:val="00727452"/>
    <w:rsid w:val="007515C3"/>
    <w:rsid w:val="007579ED"/>
    <w:rsid w:val="00785428"/>
    <w:rsid w:val="007955FD"/>
    <w:rsid w:val="007E261A"/>
    <w:rsid w:val="0087730C"/>
    <w:rsid w:val="008D20F7"/>
    <w:rsid w:val="00927B97"/>
    <w:rsid w:val="00946470"/>
    <w:rsid w:val="00981826"/>
    <w:rsid w:val="00981BD6"/>
    <w:rsid w:val="009A1BA7"/>
    <w:rsid w:val="009B5D8A"/>
    <w:rsid w:val="009E3945"/>
    <w:rsid w:val="00A1069C"/>
    <w:rsid w:val="00A1595E"/>
    <w:rsid w:val="00A22D87"/>
    <w:rsid w:val="00A36D25"/>
    <w:rsid w:val="00A47130"/>
    <w:rsid w:val="00A60B2F"/>
    <w:rsid w:val="00B12BF1"/>
    <w:rsid w:val="00B36F26"/>
    <w:rsid w:val="00B71A67"/>
    <w:rsid w:val="00B85CEE"/>
    <w:rsid w:val="00BE5059"/>
    <w:rsid w:val="00C53117"/>
    <w:rsid w:val="00CB01F0"/>
    <w:rsid w:val="00D11BF8"/>
    <w:rsid w:val="00D254EF"/>
    <w:rsid w:val="00D34A15"/>
    <w:rsid w:val="00D51B82"/>
    <w:rsid w:val="00D56462"/>
    <w:rsid w:val="00E54D40"/>
    <w:rsid w:val="00E63285"/>
    <w:rsid w:val="00E8722D"/>
    <w:rsid w:val="00F24EA0"/>
    <w:rsid w:val="00F418E8"/>
    <w:rsid w:val="00F47CC0"/>
    <w:rsid w:val="00F47E3C"/>
    <w:rsid w:val="00F97E70"/>
    <w:rsid w:val="00FA2A13"/>
    <w:rsid w:val="00FA3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AA8CE"/>
  <w15:chartTrackingRefBased/>
  <w15:docId w15:val="{E4711AEA-8902-294F-A9C8-0DDDF0407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color w:val="000000" w:themeColor="text1"/>
        <w:kern w:val="2"/>
        <w:sz w:val="24"/>
        <w:szCs w:val="24"/>
        <w:u w:color="000000" w:themeColor="text1"/>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5C3"/>
  </w:style>
  <w:style w:type="paragraph" w:styleId="Heading1">
    <w:name w:val="heading 1"/>
    <w:basedOn w:val="Normal"/>
    <w:next w:val="Normal"/>
    <w:link w:val="Heading1Char"/>
    <w:uiPriority w:val="9"/>
    <w:qFormat/>
    <w:rsid w:val="00486D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6D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6D5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6D5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86D5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86D5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86D5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86D5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86D5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D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6D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6D5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6D5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86D5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86D5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86D5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86D5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86D5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86D53"/>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86D53"/>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486D5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6D5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86D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6D53"/>
    <w:rPr>
      <w:i/>
      <w:iCs/>
      <w:color w:val="404040" w:themeColor="text1" w:themeTint="BF"/>
    </w:rPr>
  </w:style>
  <w:style w:type="paragraph" w:styleId="ListParagraph">
    <w:name w:val="List Paragraph"/>
    <w:basedOn w:val="Normal"/>
    <w:uiPriority w:val="34"/>
    <w:qFormat/>
    <w:rsid w:val="00486D53"/>
    <w:pPr>
      <w:ind w:left="720"/>
      <w:contextualSpacing/>
    </w:pPr>
  </w:style>
  <w:style w:type="character" w:styleId="IntenseEmphasis">
    <w:name w:val="Intense Emphasis"/>
    <w:basedOn w:val="DefaultParagraphFont"/>
    <w:uiPriority w:val="21"/>
    <w:qFormat/>
    <w:rsid w:val="00486D53"/>
    <w:rPr>
      <w:i/>
      <w:iCs/>
      <w:color w:val="0F4761" w:themeColor="accent1" w:themeShade="BF"/>
    </w:rPr>
  </w:style>
  <w:style w:type="paragraph" w:styleId="IntenseQuote">
    <w:name w:val="Intense Quote"/>
    <w:basedOn w:val="Normal"/>
    <w:next w:val="Normal"/>
    <w:link w:val="IntenseQuoteChar"/>
    <w:uiPriority w:val="30"/>
    <w:qFormat/>
    <w:rsid w:val="00486D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6D53"/>
    <w:rPr>
      <w:i/>
      <w:iCs/>
      <w:color w:val="0F4761" w:themeColor="accent1" w:themeShade="BF"/>
    </w:rPr>
  </w:style>
  <w:style w:type="character" w:styleId="IntenseReference">
    <w:name w:val="Intense Reference"/>
    <w:basedOn w:val="DefaultParagraphFont"/>
    <w:uiPriority w:val="32"/>
    <w:qFormat/>
    <w:rsid w:val="00486D53"/>
    <w:rPr>
      <w:b/>
      <w:bCs/>
      <w:smallCaps/>
      <w:color w:val="0F4761" w:themeColor="accent1" w:themeShade="BF"/>
      <w:spacing w:val="5"/>
    </w:rPr>
  </w:style>
  <w:style w:type="paragraph" w:styleId="Header">
    <w:name w:val="header"/>
    <w:basedOn w:val="Normal"/>
    <w:link w:val="HeaderChar"/>
    <w:uiPriority w:val="99"/>
    <w:unhideWhenUsed/>
    <w:rsid w:val="00486D53"/>
    <w:pPr>
      <w:tabs>
        <w:tab w:val="center" w:pos="4513"/>
        <w:tab w:val="right" w:pos="9026"/>
      </w:tabs>
    </w:pPr>
  </w:style>
  <w:style w:type="character" w:customStyle="1" w:styleId="HeaderChar">
    <w:name w:val="Header Char"/>
    <w:basedOn w:val="DefaultParagraphFont"/>
    <w:link w:val="Header"/>
    <w:uiPriority w:val="99"/>
    <w:rsid w:val="00486D53"/>
  </w:style>
  <w:style w:type="paragraph" w:styleId="Footer">
    <w:name w:val="footer"/>
    <w:basedOn w:val="Normal"/>
    <w:link w:val="FooterChar"/>
    <w:uiPriority w:val="99"/>
    <w:unhideWhenUsed/>
    <w:rsid w:val="00486D53"/>
    <w:pPr>
      <w:tabs>
        <w:tab w:val="center" w:pos="4513"/>
        <w:tab w:val="right" w:pos="9026"/>
      </w:tabs>
    </w:pPr>
  </w:style>
  <w:style w:type="character" w:customStyle="1" w:styleId="FooterChar">
    <w:name w:val="Footer Char"/>
    <w:basedOn w:val="DefaultParagraphFont"/>
    <w:link w:val="Footer"/>
    <w:uiPriority w:val="99"/>
    <w:rsid w:val="00486D53"/>
  </w:style>
  <w:style w:type="paragraph" w:styleId="NormalWeb">
    <w:name w:val="Normal (Web)"/>
    <w:basedOn w:val="Normal"/>
    <w:uiPriority w:val="99"/>
    <w:semiHidden/>
    <w:unhideWhenUsed/>
    <w:rsid w:val="00486D53"/>
    <w:rPr>
      <w:rFonts w:cs="Times New Roman"/>
    </w:rPr>
  </w:style>
  <w:style w:type="character" w:customStyle="1" w:styleId="hgkelc">
    <w:name w:val="hgkelc"/>
    <w:basedOn w:val="DefaultParagraphFont"/>
    <w:rsid w:val="001613B3"/>
  </w:style>
  <w:style w:type="character" w:styleId="Hyperlink">
    <w:name w:val="Hyperlink"/>
    <w:basedOn w:val="DefaultParagraphFont"/>
    <w:uiPriority w:val="99"/>
    <w:unhideWhenUsed/>
    <w:rsid w:val="00B12BF1"/>
    <w:rPr>
      <w:color w:val="0563C1"/>
      <w:u w:val="single"/>
    </w:rPr>
  </w:style>
  <w:style w:type="character" w:styleId="UnresolvedMention">
    <w:name w:val="Unresolved Mention"/>
    <w:basedOn w:val="DefaultParagraphFont"/>
    <w:uiPriority w:val="99"/>
    <w:semiHidden/>
    <w:unhideWhenUsed/>
    <w:rsid w:val="00B12BF1"/>
    <w:rPr>
      <w:color w:val="605E5C"/>
      <w:shd w:val="clear" w:color="auto" w:fill="E1DFDD"/>
    </w:rPr>
  </w:style>
  <w:style w:type="character" w:styleId="CommentReference">
    <w:name w:val="annotation reference"/>
    <w:basedOn w:val="DefaultParagraphFont"/>
    <w:uiPriority w:val="99"/>
    <w:semiHidden/>
    <w:unhideWhenUsed/>
    <w:rsid w:val="00BE5059"/>
    <w:rPr>
      <w:sz w:val="16"/>
      <w:szCs w:val="16"/>
    </w:rPr>
  </w:style>
  <w:style w:type="paragraph" w:styleId="CommentText">
    <w:name w:val="annotation text"/>
    <w:basedOn w:val="Normal"/>
    <w:link w:val="CommentTextChar"/>
    <w:uiPriority w:val="99"/>
    <w:unhideWhenUsed/>
    <w:rsid w:val="00BE5059"/>
    <w:rPr>
      <w:rFonts w:asciiTheme="minorHAnsi" w:hAnsiTheme="minorHAnsi" w:cstheme="minorBidi"/>
      <w:noProof/>
      <w:color w:val="auto"/>
      <w:sz w:val="20"/>
      <w:szCs w:val="20"/>
    </w:rPr>
  </w:style>
  <w:style w:type="character" w:customStyle="1" w:styleId="CommentTextChar">
    <w:name w:val="Comment Text Char"/>
    <w:basedOn w:val="DefaultParagraphFont"/>
    <w:link w:val="CommentText"/>
    <w:uiPriority w:val="99"/>
    <w:rsid w:val="00BE5059"/>
    <w:rPr>
      <w:rFonts w:asciiTheme="minorHAnsi" w:hAnsiTheme="minorHAnsi" w:cstheme="minorBidi"/>
      <w:noProof/>
      <w:color w:val="auto"/>
      <w:sz w:val="20"/>
      <w:szCs w:val="20"/>
      <w:lang w:val="en-GB"/>
    </w:rPr>
  </w:style>
  <w:style w:type="table" w:styleId="TableGrid">
    <w:name w:val="Table Grid"/>
    <w:basedOn w:val="TableNormal"/>
    <w:uiPriority w:val="39"/>
    <w:rsid w:val="005E44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71A67"/>
  </w:style>
  <w:style w:type="character" w:styleId="Strong">
    <w:name w:val="Strong"/>
    <w:basedOn w:val="DefaultParagraphFont"/>
    <w:uiPriority w:val="22"/>
    <w:qFormat/>
    <w:rsid w:val="00F24EA0"/>
    <w:rPr>
      <w:b/>
      <w:bCs/>
    </w:rPr>
  </w:style>
  <w:style w:type="paragraph" w:customStyle="1" w:styleId="Default">
    <w:name w:val="Default"/>
    <w:rsid w:val="007515C3"/>
    <w:pPr>
      <w:autoSpaceDE w:val="0"/>
      <w:autoSpaceDN w:val="0"/>
      <w:adjustRightInd w:val="0"/>
    </w:pPr>
    <w:rPr>
      <w:rFonts w:ascii="Myriad Pro Light" w:hAnsi="Myriad Pro Light" w:cs="Myriad Pro Light"/>
      <w:color w:val="000000"/>
      <w:kern w:val="0"/>
    </w:rPr>
  </w:style>
  <w:style w:type="character" w:customStyle="1" w:styleId="y2iqfc">
    <w:name w:val="y2iqfc"/>
    <w:basedOn w:val="DefaultParagraphFont"/>
    <w:rsid w:val="007515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07411">
      <w:bodyDiv w:val="1"/>
      <w:marLeft w:val="0"/>
      <w:marRight w:val="0"/>
      <w:marTop w:val="0"/>
      <w:marBottom w:val="0"/>
      <w:divBdr>
        <w:top w:val="none" w:sz="0" w:space="0" w:color="auto"/>
        <w:left w:val="none" w:sz="0" w:space="0" w:color="auto"/>
        <w:bottom w:val="none" w:sz="0" w:space="0" w:color="auto"/>
        <w:right w:val="none" w:sz="0" w:space="0" w:color="auto"/>
      </w:divBdr>
    </w:div>
    <w:div w:id="163789750">
      <w:bodyDiv w:val="1"/>
      <w:marLeft w:val="0"/>
      <w:marRight w:val="0"/>
      <w:marTop w:val="0"/>
      <w:marBottom w:val="0"/>
      <w:divBdr>
        <w:top w:val="none" w:sz="0" w:space="0" w:color="auto"/>
        <w:left w:val="none" w:sz="0" w:space="0" w:color="auto"/>
        <w:bottom w:val="none" w:sz="0" w:space="0" w:color="auto"/>
        <w:right w:val="none" w:sz="0" w:space="0" w:color="auto"/>
      </w:divBdr>
    </w:div>
    <w:div w:id="265769114">
      <w:bodyDiv w:val="1"/>
      <w:marLeft w:val="0"/>
      <w:marRight w:val="0"/>
      <w:marTop w:val="0"/>
      <w:marBottom w:val="0"/>
      <w:divBdr>
        <w:top w:val="none" w:sz="0" w:space="0" w:color="auto"/>
        <w:left w:val="none" w:sz="0" w:space="0" w:color="auto"/>
        <w:bottom w:val="none" w:sz="0" w:space="0" w:color="auto"/>
        <w:right w:val="none" w:sz="0" w:space="0" w:color="auto"/>
      </w:divBdr>
    </w:div>
    <w:div w:id="327640419">
      <w:bodyDiv w:val="1"/>
      <w:marLeft w:val="0"/>
      <w:marRight w:val="0"/>
      <w:marTop w:val="0"/>
      <w:marBottom w:val="0"/>
      <w:divBdr>
        <w:top w:val="none" w:sz="0" w:space="0" w:color="auto"/>
        <w:left w:val="none" w:sz="0" w:space="0" w:color="auto"/>
        <w:bottom w:val="none" w:sz="0" w:space="0" w:color="auto"/>
        <w:right w:val="none" w:sz="0" w:space="0" w:color="auto"/>
      </w:divBdr>
      <w:divsChild>
        <w:div w:id="1862931945">
          <w:marLeft w:val="0"/>
          <w:marRight w:val="0"/>
          <w:marTop w:val="0"/>
          <w:marBottom w:val="0"/>
          <w:divBdr>
            <w:top w:val="none" w:sz="0" w:space="0" w:color="auto"/>
            <w:left w:val="none" w:sz="0" w:space="0" w:color="auto"/>
            <w:bottom w:val="none" w:sz="0" w:space="0" w:color="auto"/>
            <w:right w:val="none" w:sz="0" w:space="0" w:color="auto"/>
          </w:divBdr>
          <w:divsChild>
            <w:div w:id="1980573415">
              <w:marLeft w:val="0"/>
              <w:marRight w:val="0"/>
              <w:marTop w:val="0"/>
              <w:marBottom w:val="0"/>
              <w:divBdr>
                <w:top w:val="none" w:sz="0" w:space="0" w:color="auto"/>
                <w:left w:val="none" w:sz="0" w:space="0" w:color="auto"/>
                <w:bottom w:val="none" w:sz="0" w:space="0" w:color="auto"/>
                <w:right w:val="none" w:sz="0" w:space="0" w:color="auto"/>
              </w:divBdr>
              <w:divsChild>
                <w:div w:id="109590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267496">
      <w:bodyDiv w:val="1"/>
      <w:marLeft w:val="0"/>
      <w:marRight w:val="0"/>
      <w:marTop w:val="0"/>
      <w:marBottom w:val="0"/>
      <w:divBdr>
        <w:top w:val="none" w:sz="0" w:space="0" w:color="auto"/>
        <w:left w:val="none" w:sz="0" w:space="0" w:color="auto"/>
        <w:bottom w:val="none" w:sz="0" w:space="0" w:color="auto"/>
        <w:right w:val="none" w:sz="0" w:space="0" w:color="auto"/>
      </w:divBdr>
      <w:divsChild>
        <w:div w:id="1125081739">
          <w:marLeft w:val="0"/>
          <w:marRight w:val="0"/>
          <w:marTop w:val="0"/>
          <w:marBottom w:val="0"/>
          <w:divBdr>
            <w:top w:val="none" w:sz="0" w:space="0" w:color="auto"/>
            <w:left w:val="none" w:sz="0" w:space="0" w:color="auto"/>
            <w:bottom w:val="none" w:sz="0" w:space="0" w:color="auto"/>
            <w:right w:val="none" w:sz="0" w:space="0" w:color="auto"/>
          </w:divBdr>
          <w:divsChild>
            <w:div w:id="790782671">
              <w:marLeft w:val="0"/>
              <w:marRight w:val="0"/>
              <w:marTop w:val="0"/>
              <w:marBottom w:val="0"/>
              <w:divBdr>
                <w:top w:val="none" w:sz="0" w:space="0" w:color="auto"/>
                <w:left w:val="none" w:sz="0" w:space="0" w:color="auto"/>
                <w:bottom w:val="none" w:sz="0" w:space="0" w:color="auto"/>
                <w:right w:val="none" w:sz="0" w:space="0" w:color="auto"/>
              </w:divBdr>
              <w:divsChild>
                <w:div w:id="185456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919073">
      <w:bodyDiv w:val="1"/>
      <w:marLeft w:val="0"/>
      <w:marRight w:val="0"/>
      <w:marTop w:val="0"/>
      <w:marBottom w:val="0"/>
      <w:divBdr>
        <w:top w:val="none" w:sz="0" w:space="0" w:color="auto"/>
        <w:left w:val="none" w:sz="0" w:space="0" w:color="auto"/>
        <w:bottom w:val="none" w:sz="0" w:space="0" w:color="auto"/>
        <w:right w:val="none" w:sz="0" w:space="0" w:color="auto"/>
      </w:divBdr>
    </w:div>
    <w:div w:id="818885680">
      <w:bodyDiv w:val="1"/>
      <w:marLeft w:val="0"/>
      <w:marRight w:val="0"/>
      <w:marTop w:val="0"/>
      <w:marBottom w:val="0"/>
      <w:divBdr>
        <w:top w:val="none" w:sz="0" w:space="0" w:color="auto"/>
        <w:left w:val="none" w:sz="0" w:space="0" w:color="auto"/>
        <w:bottom w:val="none" w:sz="0" w:space="0" w:color="auto"/>
        <w:right w:val="none" w:sz="0" w:space="0" w:color="auto"/>
      </w:divBdr>
    </w:div>
    <w:div w:id="846864095">
      <w:bodyDiv w:val="1"/>
      <w:marLeft w:val="0"/>
      <w:marRight w:val="0"/>
      <w:marTop w:val="0"/>
      <w:marBottom w:val="0"/>
      <w:divBdr>
        <w:top w:val="none" w:sz="0" w:space="0" w:color="auto"/>
        <w:left w:val="none" w:sz="0" w:space="0" w:color="auto"/>
        <w:bottom w:val="none" w:sz="0" w:space="0" w:color="auto"/>
        <w:right w:val="none" w:sz="0" w:space="0" w:color="auto"/>
      </w:divBdr>
    </w:div>
    <w:div w:id="873230448">
      <w:bodyDiv w:val="1"/>
      <w:marLeft w:val="0"/>
      <w:marRight w:val="0"/>
      <w:marTop w:val="0"/>
      <w:marBottom w:val="0"/>
      <w:divBdr>
        <w:top w:val="none" w:sz="0" w:space="0" w:color="auto"/>
        <w:left w:val="none" w:sz="0" w:space="0" w:color="auto"/>
        <w:bottom w:val="none" w:sz="0" w:space="0" w:color="auto"/>
        <w:right w:val="none" w:sz="0" w:space="0" w:color="auto"/>
      </w:divBdr>
      <w:divsChild>
        <w:div w:id="102305684">
          <w:marLeft w:val="0"/>
          <w:marRight w:val="0"/>
          <w:marTop w:val="0"/>
          <w:marBottom w:val="0"/>
          <w:divBdr>
            <w:top w:val="none" w:sz="0" w:space="0" w:color="auto"/>
            <w:left w:val="none" w:sz="0" w:space="0" w:color="auto"/>
            <w:bottom w:val="none" w:sz="0" w:space="0" w:color="auto"/>
            <w:right w:val="none" w:sz="0" w:space="0" w:color="auto"/>
          </w:divBdr>
          <w:divsChild>
            <w:div w:id="1236089373">
              <w:marLeft w:val="0"/>
              <w:marRight w:val="0"/>
              <w:marTop w:val="0"/>
              <w:marBottom w:val="0"/>
              <w:divBdr>
                <w:top w:val="none" w:sz="0" w:space="0" w:color="auto"/>
                <w:left w:val="none" w:sz="0" w:space="0" w:color="auto"/>
                <w:bottom w:val="none" w:sz="0" w:space="0" w:color="auto"/>
                <w:right w:val="none" w:sz="0" w:space="0" w:color="auto"/>
              </w:divBdr>
              <w:divsChild>
                <w:div w:id="87257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572756">
      <w:bodyDiv w:val="1"/>
      <w:marLeft w:val="0"/>
      <w:marRight w:val="0"/>
      <w:marTop w:val="0"/>
      <w:marBottom w:val="0"/>
      <w:divBdr>
        <w:top w:val="none" w:sz="0" w:space="0" w:color="auto"/>
        <w:left w:val="none" w:sz="0" w:space="0" w:color="auto"/>
        <w:bottom w:val="none" w:sz="0" w:space="0" w:color="auto"/>
        <w:right w:val="none" w:sz="0" w:space="0" w:color="auto"/>
      </w:divBdr>
    </w:div>
    <w:div w:id="945816045">
      <w:bodyDiv w:val="1"/>
      <w:marLeft w:val="0"/>
      <w:marRight w:val="0"/>
      <w:marTop w:val="0"/>
      <w:marBottom w:val="0"/>
      <w:divBdr>
        <w:top w:val="none" w:sz="0" w:space="0" w:color="auto"/>
        <w:left w:val="none" w:sz="0" w:space="0" w:color="auto"/>
        <w:bottom w:val="none" w:sz="0" w:space="0" w:color="auto"/>
        <w:right w:val="none" w:sz="0" w:space="0" w:color="auto"/>
      </w:divBdr>
    </w:div>
    <w:div w:id="1211185389">
      <w:bodyDiv w:val="1"/>
      <w:marLeft w:val="0"/>
      <w:marRight w:val="0"/>
      <w:marTop w:val="0"/>
      <w:marBottom w:val="0"/>
      <w:divBdr>
        <w:top w:val="none" w:sz="0" w:space="0" w:color="auto"/>
        <w:left w:val="none" w:sz="0" w:space="0" w:color="auto"/>
        <w:bottom w:val="none" w:sz="0" w:space="0" w:color="auto"/>
        <w:right w:val="none" w:sz="0" w:space="0" w:color="auto"/>
      </w:divBdr>
    </w:div>
    <w:div w:id="1267034227">
      <w:bodyDiv w:val="1"/>
      <w:marLeft w:val="0"/>
      <w:marRight w:val="0"/>
      <w:marTop w:val="0"/>
      <w:marBottom w:val="0"/>
      <w:divBdr>
        <w:top w:val="none" w:sz="0" w:space="0" w:color="auto"/>
        <w:left w:val="none" w:sz="0" w:space="0" w:color="auto"/>
        <w:bottom w:val="none" w:sz="0" w:space="0" w:color="auto"/>
        <w:right w:val="none" w:sz="0" w:space="0" w:color="auto"/>
      </w:divBdr>
      <w:divsChild>
        <w:div w:id="1313482143">
          <w:marLeft w:val="0"/>
          <w:marRight w:val="0"/>
          <w:marTop w:val="0"/>
          <w:marBottom w:val="0"/>
          <w:divBdr>
            <w:top w:val="none" w:sz="0" w:space="0" w:color="auto"/>
            <w:left w:val="none" w:sz="0" w:space="0" w:color="auto"/>
            <w:bottom w:val="none" w:sz="0" w:space="0" w:color="auto"/>
            <w:right w:val="none" w:sz="0" w:space="0" w:color="auto"/>
          </w:divBdr>
          <w:divsChild>
            <w:div w:id="2051033035">
              <w:marLeft w:val="0"/>
              <w:marRight w:val="0"/>
              <w:marTop w:val="0"/>
              <w:marBottom w:val="0"/>
              <w:divBdr>
                <w:top w:val="none" w:sz="0" w:space="0" w:color="auto"/>
                <w:left w:val="none" w:sz="0" w:space="0" w:color="auto"/>
                <w:bottom w:val="none" w:sz="0" w:space="0" w:color="auto"/>
                <w:right w:val="none" w:sz="0" w:space="0" w:color="auto"/>
              </w:divBdr>
              <w:divsChild>
                <w:div w:id="18795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788392">
      <w:bodyDiv w:val="1"/>
      <w:marLeft w:val="0"/>
      <w:marRight w:val="0"/>
      <w:marTop w:val="0"/>
      <w:marBottom w:val="0"/>
      <w:divBdr>
        <w:top w:val="none" w:sz="0" w:space="0" w:color="auto"/>
        <w:left w:val="none" w:sz="0" w:space="0" w:color="auto"/>
        <w:bottom w:val="none" w:sz="0" w:space="0" w:color="auto"/>
        <w:right w:val="none" w:sz="0" w:space="0" w:color="auto"/>
      </w:divBdr>
    </w:div>
    <w:div w:id="1515149505">
      <w:bodyDiv w:val="1"/>
      <w:marLeft w:val="0"/>
      <w:marRight w:val="0"/>
      <w:marTop w:val="0"/>
      <w:marBottom w:val="0"/>
      <w:divBdr>
        <w:top w:val="none" w:sz="0" w:space="0" w:color="auto"/>
        <w:left w:val="none" w:sz="0" w:space="0" w:color="auto"/>
        <w:bottom w:val="none" w:sz="0" w:space="0" w:color="auto"/>
        <w:right w:val="none" w:sz="0" w:space="0" w:color="auto"/>
      </w:divBdr>
    </w:div>
    <w:div w:id="1650205667">
      <w:bodyDiv w:val="1"/>
      <w:marLeft w:val="0"/>
      <w:marRight w:val="0"/>
      <w:marTop w:val="0"/>
      <w:marBottom w:val="0"/>
      <w:divBdr>
        <w:top w:val="none" w:sz="0" w:space="0" w:color="auto"/>
        <w:left w:val="none" w:sz="0" w:space="0" w:color="auto"/>
        <w:bottom w:val="none" w:sz="0" w:space="0" w:color="auto"/>
        <w:right w:val="none" w:sz="0" w:space="0" w:color="auto"/>
      </w:divBdr>
    </w:div>
    <w:div w:id="1802452763">
      <w:bodyDiv w:val="1"/>
      <w:marLeft w:val="0"/>
      <w:marRight w:val="0"/>
      <w:marTop w:val="0"/>
      <w:marBottom w:val="0"/>
      <w:divBdr>
        <w:top w:val="none" w:sz="0" w:space="0" w:color="auto"/>
        <w:left w:val="none" w:sz="0" w:space="0" w:color="auto"/>
        <w:bottom w:val="none" w:sz="0" w:space="0" w:color="auto"/>
        <w:right w:val="none" w:sz="0" w:space="0" w:color="auto"/>
      </w:divBdr>
    </w:div>
    <w:div w:id="2095319318">
      <w:bodyDiv w:val="1"/>
      <w:marLeft w:val="0"/>
      <w:marRight w:val="0"/>
      <w:marTop w:val="0"/>
      <w:marBottom w:val="0"/>
      <w:divBdr>
        <w:top w:val="none" w:sz="0" w:space="0" w:color="auto"/>
        <w:left w:val="none" w:sz="0" w:space="0" w:color="auto"/>
        <w:bottom w:val="none" w:sz="0" w:space="0" w:color="auto"/>
        <w:right w:val="none" w:sz="0" w:space="0" w:color="auto"/>
      </w:divBdr>
      <w:divsChild>
        <w:div w:id="354159720">
          <w:marLeft w:val="0"/>
          <w:marRight w:val="0"/>
          <w:marTop w:val="0"/>
          <w:marBottom w:val="0"/>
          <w:divBdr>
            <w:top w:val="none" w:sz="0" w:space="0" w:color="auto"/>
            <w:left w:val="none" w:sz="0" w:space="0" w:color="auto"/>
            <w:bottom w:val="none" w:sz="0" w:space="0" w:color="auto"/>
            <w:right w:val="none" w:sz="0" w:space="0" w:color="auto"/>
          </w:divBdr>
          <w:divsChild>
            <w:div w:id="646394013">
              <w:marLeft w:val="0"/>
              <w:marRight w:val="0"/>
              <w:marTop w:val="0"/>
              <w:marBottom w:val="0"/>
              <w:divBdr>
                <w:top w:val="none" w:sz="0" w:space="0" w:color="auto"/>
                <w:left w:val="none" w:sz="0" w:space="0" w:color="auto"/>
                <w:bottom w:val="none" w:sz="0" w:space="0" w:color="auto"/>
                <w:right w:val="none" w:sz="0" w:space="0" w:color="auto"/>
              </w:divBdr>
              <w:divsChild>
                <w:div w:id="108306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ience@expeditions.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1485</Words>
  <Characters>8379</Characters>
  <Application>Microsoft Office Word</Application>
  <DocSecurity>0</DocSecurity>
  <Lines>119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Amalia Skrifvars</dc:creator>
  <cp:keywords/>
  <dc:description/>
  <cp:lastModifiedBy>Giannina Hattich</cp:lastModifiedBy>
  <cp:revision>4</cp:revision>
  <cp:lastPrinted>2024-04-19T22:25:00Z</cp:lastPrinted>
  <dcterms:created xsi:type="dcterms:W3CDTF">2024-05-14T20:55:00Z</dcterms:created>
  <dcterms:modified xsi:type="dcterms:W3CDTF">2024-05-14T21:03:00Z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73e39f2ba1f9455a6f1a1c3cba26ab6045b81237994164b109b8baeb770613c8</vt:lpwstr>
  </property>
</Properties>
</file>