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D7BAA" w14:textId="77777777" w:rsidR="000814F4" w:rsidRPr="00716CB9" w:rsidRDefault="000814F4" w:rsidP="000814F4">
      <w:pPr>
        <w:pStyle w:val="NormalWeb"/>
        <w:rPr>
          <w:b/>
          <w:bCs/>
        </w:rPr>
      </w:pPr>
      <w:r w:rsidRPr="00716CB9">
        <w:rPr>
          <w:b/>
          <w:bCs/>
        </w:rPr>
        <w:t xml:space="preserve">2.3 </w:t>
      </w:r>
      <w:r w:rsidRPr="00716CB9">
        <w:rPr>
          <w:rFonts w:eastAsiaTheme="minorEastAsia"/>
          <w:b/>
          <w:bCs/>
        </w:rPr>
        <w:t>A</w:t>
      </w:r>
      <w:r w:rsidRPr="00716CB9">
        <w:rPr>
          <w:b/>
          <w:bCs/>
        </w:rPr>
        <w:t xml:space="preserve"> technical description of the proposed research:</w:t>
      </w:r>
    </w:p>
    <w:p w14:paraId="00FE2452" w14:textId="77777777" w:rsidR="000814F4" w:rsidRPr="00716CB9" w:rsidRDefault="000814F4" w:rsidP="000814F4">
      <w:pPr>
        <w:widowControl/>
        <w:spacing w:before="100" w:beforeAutospacing="1" w:after="100" w:afterAutospacing="1" w:line="240" w:lineRule="auto"/>
        <w:jc w:val="left"/>
        <w:outlineLvl w:val="2"/>
        <w:rPr>
          <w:rFonts w:ascii="Times New Roman" w:eastAsia="Times New Roman" w:hAnsi="Times New Roman" w:cs="Times New Roman"/>
          <w:b/>
          <w:bCs/>
          <w:kern w:val="0"/>
          <w:sz w:val="24"/>
          <w:szCs w:val="24"/>
          <w14:ligatures w14:val="none"/>
        </w:rPr>
      </w:pPr>
      <w:r w:rsidRPr="00716CB9">
        <w:rPr>
          <w:rFonts w:ascii="Times New Roman" w:eastAsia="Times New Roman" w:hAnsi="Times New Roman" w:cs="Times New Roman"/>
          <w:b/>
          <w:bCs/>
          <w:kern w:val="0"/>
          <w:sz w:val="24"/>
          <w:szCs w:val="24"/>
          <w14:ligatures w14:val="none"/>
        </w:rPr>
        <w:t>a) Objectives</w:t>
      </w:r>
    </w:p>
    <w:p w14:paraId="30C3FF22" w14:textId="77777777" w:rsidR="000814F4" w:rsidRPr="00716CB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b/>
          <w:bCs/>
          <w:kern w:val="0"/>
          <w:sz w:val="24"/>
          <w:szCs w:val="24"/>
          <w14:ligatures w14:val="none"/>
        </w:rPr>
        <w:t>Short-term objectives:</w:t>
      </w:r>
    </w:p>
    <w:p w14:paraId="6A1F8EAC" w14:textId="77777777" w:rsidR="000814F4" w:rsidRPr="00716CB9" w:rsidRDefault="000814F4" w:rsidP="000814F4">
      <w:pPr>
        <w:widowControl/>
        <w:numPr>
          <w:ilvl w:val="0"/>
          <w:numId w:val="2"/>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Establish new, collaborative research relationships with Cambridge Bay community partners, including negotiating and agreeing on sampling locations, timing, and a shared research protocol that reflects mutual expectations and support.</w:t>
      </w:r>
    </w:p>
    <w:p w14:paraId="57B14139" w14:textId="77777777" w:rsidR="000814F4" w:rsidRPr="00716CB9" w:rsidRDefault="000814F4" w:rsidP="000814F4">
      <w:pPr>
        <w:widowControl/>
        <w:numPr>
          <w:ilvl w:val="0"/>
          <w:numId w:val="2"/>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 xml:space="preserve">Initiate and execute seasonal field sampling campaigns (spring thaw, summer open-water, </w:t>
      </w:r>
      <w:r>
        <w:rPr>
          <w:rFonts w:ascii="Times New Roman" w:hAnsi="Times New Roman" w:cs="Times New Roman" w:hint="eastAsia"/>
          <w:kern w:val="0"/>
          <w:sz w:val="24"/>
          <w:szCs w:val="24"/>
          <w14:ligatures w14:val="none"/>
        </w:rPr>
        <w:t>fall</w:t>
      </w:r>
      <w:r w:rsidRPr="00716CB9">
        <w:rPr>
          <w:rFonts w:ascii="Times New Roman" w:eastAsia="Times New Roman" w:hAnsi="Times New Roman" w:cs="Times New Roman"/>
          <w:kern w:val="0"/>
          <w:sz w:val="24"/>
          <w:szCs w:val="24"/>
          <w14:ligatures w14:val="none"/>
        </w:rPr>
        <w:t xml:space="preserve"> break up, and winter ice conditions) to collect water, sediment/soil (including permafrost-related material), and biological samples—focusing on microbial communities and microalgae and including fish only where appropriate permissions are obtained and aligned with local priorities and concerns. Begin building a dataset of emerging contaminant distributions that explicitly incorporates concurrent weather and seasonal variability.</w:t>
      </w:r>
    </w:p>
    <w:p w14:paraId="46201D0B" w14:textId="77777777" w:rsidR="000814F4" w:rsidRPr="00CC0A52" w:rsidRDefault="000814F4" w:rsidP="000814F4">
      <w:pPr>
        <w:widowControl/>
        <w:numPr>
          <w:ilvl w:val="0"/>
          <w:numId w:val="2"/>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CC0A52">
        <w:rPr>
          <w:rFonts w:ascii="Times New Roman" w:eastAsia="Times New Roman" w:hAnsi="Times New Roman" w:cs="Times New Roman"/>
          <w:kern w:val="0"/>
          <w:sz w:val="24"/>
          <w:szCs w:val="24"/>
          <w14:ligatures w14:val="none"/>
        </w:rPr>
        <w:t>Controlled laboratory studies will be carried out in our NRPOP laboratory, with potential collaborations (e.g., CHARS and ECCC) as examples, to simulate Arctic/sub-Arctic conditions and characterize the fate, transformation, and bioaccumulation of target contaminants such as microplastics, PFAS, oil-derived pollutants, and flame retardants.</w:t>
      </w:r>
    </w:p>
    <w:p w14:paraId="59071A11" w14:textId="77777777" w:rsidR="000814F4" w:rsidRPr="00716CB9" w:rsidRDefault="000814F4" w:rsidP="000814F4">
      <w:pPr>
        <w:widowControl/>
        <w:numPr>
          <w:ilvl w:val="0"/>
          <w:numId w:val="2"/>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Implement capacity-building activities by training community-nominated youth and participants in field sampling, basic in-field measurement, and data collection, and initiate the laboratory training track to expose selected local participants to analytical workflows.</w:t>
      </w:r>
    </w:p>
    <w:p w14:paraId="007FEDAC" w14:textId="77777777" w:rsidR="000814F4" w:rsidRPr="00716CB9" w:rsidRDefault="000814F4" w:rsidP="000814F4">
      <w:pPr>
        <w:widowControl/>
        <w:numPr>
          <w:ilvl w:val="0"/>
          <w:numId w:val="2"/>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Deploy a data management framework that ensures secure storage of field and lab data while providing community-accessible interfaces so local partners can retrieve relevant experimental and observational data in near real time.</w:t>
      </w:r>
    </w:p>
    <w:p w14:paraId="46CD9DC0" w14:textId="77777777" w:rsidR="000814F4" w:rsidRPr="00716CB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b/>
          <w:bCs/>
          <w:kern w:val="0"/>
          <w:sz w:val="24"/>
          <w:szCs w:val="24"/>
          <w14:ligatures w14:val="none"/>
        </w:rPr>
        <w:t>Long-term objectives:</w:t>
      </w:r>
    </w:p>
    <w:p w14:paraId="5929A66B" w14:textId="77777777" w:rsidR="000814F4" w:rsidRPr="00716CB9" w:rsidRDefault="000814F4" w:rsidP="000814F4">
      <w:pPr>
        <w:widowControl/>
        <w:numPr>
          <w:ilvl w:val="0"/>
          <w:numId w:val="3"/>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Develop a comprehensive, multi-seasonal dataset detailing the spatial and temporal distribution of emerging contaminants around Cambridge Bay, including how weather and climate variability influence their mobility and persistence.</w:t>
      </w:r>
    </w:p>
    <w:p w14:paraId="2DE229BE" w14:textId="77777777" w:rsidR="000814F4" w:rsidRPr="00716CB9" w:rsidRDefault="000814F4" w:rsidP="000814F4">
      <w:pPr>
        <w:widowControl/>
        <w:numPr>
          <w:ilvl w:val="0"/>
          <w:numId w:val="3"/>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 xml:space="preserve">Integrate field observations and laboratory-derived mechanistic insights to model bioaccumulation pathways in culturally and nutritionally important species, assessing ecological and human-health risks—especially given that </w:t>
      </w:r>
      <w:r>
        <w:rPr>
          <w:rFonts w:ascii="Times New Roman" w:hAnsi="Times New Roman" w:cs="Times New Roman" w:hint="eastAsia"/>
          <w:kern w:val="0"/>
          <w:sz w:val="24"/>
          <w:szCs w:val="24"/>
          <w14:ligatures w14:val="none"/>
        </w:rPr>
        <w:t>our previous</w:t>
      </w:r>
      <w:r w:rsidRPr="00716CB9">
        <w:rPr>
          <w:rFonts w:ascii="Times New Roman" w:eastAsia="Times New Roman" w:hAnsi="Times New Roman" w:cs="Times New Roman"/>
          <w:kern w:val="0"/>
          <w:sz w:val="24"/>
          <w:szCs w:val="24"/>
          <w14:ligatures w14:val="none"/>
        </w:rPr>
        <w:t xml:space="preserve"> work has shown flame retardants </w:t>
      </w:r>
      <w:r>
        <w:rPr>
          <w:rFonts w:ascii="Times New Roman" w:hAnsi="Times New Roman" w:cs="Times New Roman" w:hint="eastAsia"/>
          <w:kern w:val="0"/>
          <w:sz w:val="24"/>
          <w:szCs w:val="24"/>
          <w14:ligatures w14:val="none"/>
        </w:rPr>
        <w:t>(</w:t>
      </w:r>
      <w:r w:rsidRPr="00716CB9">
        <w:rPr>
          <w:rFonts w:ascii="Times New Roman" w:eastAsia="Times New Roman" w:hAnsi="Times New Roman" w:cs="Times New Roman"/>
          <w:kern w:val="0"/>
          <w:sz w:val="24"/>
          <w:szCs w:val="24"/>
          <w14:ligatures w14:val="none"/>
        </w:rPr>
        <w:t>PBDEs</w:t>
      </w:r>
      <w:r>
        <w:rPr>
          <w:rFonts w:ascii="Times New Roman" w:hAnsi="Times New Roman" w:cs="Times New Roman" w:hint="eastAsia"/>
          <w:kern w:val="0"/>
          <w:sz w:val="24"/>
          <w:szCs w:val="24"/>
          <w14:ligatures w14:val="none"/>
        </w:rPr>
        <w:t>)</w:t>
      </w:r>
      <w:r w:rsidRPr="00716CB9">
        <w:rPr>
          <w:rFonts w:ascii="Times New Roman" w:eastAsia="Times New Roman" w:hAnsi="Times New Roman" w:cs="Times New Roman"/>
          <w:kern w:val="0"/>
          <w:sz w:val="24"/>
          <w:szCs w:val="24"/>
          <w14:ligatures w14:val="none"/>
        </w:rPr>
        <w:t xml:space="preserve"> at levels exceeding national guidelines or risk thresholds, indicating a serious and potentially current/future threat to community health.</w:t>
      </w:r>
    </w:p>
    <w:p w14:paraId="586833D1" w14:textId="77777777" w:rsidR="000814F4" w:rsidRPr="00716CB9" w:rsidRDefault="000814F4" w:rsidP="000814F4">
      <w:pPr>
        <w:widowControl/>
        <w:numPr>
          <w:ilvl w:val="0"/>
          <w:numId w:val="3"/>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Co-produce, with community collaborators, evidence-based mitigation and adaptation strategies that reflect local priorities and knowledge, enhancing resilience to contaminant exposure under changing environmental conditions.</w:t>
      </w:r>
    </w:p>
    <w:p w14:paraId="3098B1F1" w14:textId="77777777" w:rsidR="000814F4" w:rsidRPr="00716CB9" w:rsidRDefault="000814F4" w:rsidP="000814F4">
      <w:pPr>
        <w:widowControl/>
        <w:numPr>
          <w:ilvl w:val="0"/>
          <w:numId w:val="3"/>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lastRenderedPageBreak/>
        <w:t>Build and sustain local monitoring capacity by embedding trained community members in ongoing sampling, preliminary data interpretation, and feedback loops, creating a durable legacy of environmental stewardship.</w:t>
      </w:r>
    </w:p>
    <w:p w14:paraId="6CEF3C4C" w14:textId="77777777" w:rsidR="000814F4" w:rsidRPr="00CC0A52" w:rsidRDefault="000814F4" w:rsidP="000814F4">
      <w:pPr>
        <w:widowControl/>
        <w:numPr>
          <w:ilvl w:val="0"/>
          <w:numId w:val="3"/>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Situate Cambridge Bay findings within a global comparative framework to distinguish local versus widespread contaminant behaviors and inform transferable policies and management responses for Arctic and sub-Arctic communities.</w:t>
      </w:r>
    </w:p>
    <w:p w14:paraId="30E90FF8" w14:textId="77777777" w:rsidR="000814F4" w:rsidRPr="00716CB9" w:rsidRDefault="000814F4" w:rsidP="000814F4">
      <w:pPr>
        <w:pStyle w:val="NormalWeb"/>
        <w:rPr>
          <w:rFonts w:eastAsiaTheme="minorEastAsia"/>
          <w:b/>
          <w:bCs/>
        </w:rPr>
      </w:pPr>
      <w:r w:rsidRPr="00716CB9">
        <w:rPr>
          <w:b/>
          <w:bCs/>
        </w:rPr>
        <w:t>b) Background and Rationale: the state of knowledge and research related to the problem or question(s) being investigated. Explain the history and development of the research questions and justify the significance of and need for the project.</w:t>
      </w:r>
    </w:p>
    <w:p w14:paraId="78166758" w14:textId="77777777" w:rsidR="000814F4" w:rsidRPr="00716CB9" w:rsidRDefault="000814F4" w:rsidP="000814F4">
      <w:pPr>
        <w:pStyle w:val="NormalWeb"/>
      </w:pPr>
      <w:r w:rsidRPr="00716CB9">
        <w:rPr>
          <w:rStyle w:val="Strong"/>
          <w:rFonts w:eastAsiaTheme="majorEastAsia"/>
        </w:rPr>
        <w:t>Background and Rationale</w:t>
      </w:r>
    </w:p>
    <w:p w14:paraId="0E879B66" w14:textId="77777777" w:rsidR="000814F4" w:rsidRPr="00716CB9" w:rsidRDefault="000814F4" w:rsidP="000814F4">
      <w:pPr>
        <w:pStyle w:val="NormalWeb"/>
      </w:pPr>
      <w:r w:rsidRPr="00716CB9">
        <w:t xml:space="preserve">The </w:t>
      </w:r>
      <w:r>
        <w:rPr>
          <w:rFonts w:eastAsiaTheme="minorEastAsia" w:hint="eastAsia"/>
        </w:rPr>
        <w:t>A</w:t>
      </w:r>
      <w:r w:rsidRPr="00716CB9">
        <w:t xml:space="preserve">rctic coastal system around Cambridge Bay is embedded in a rapidly changing Arctic where warming temperatures, permafrost thaw, altered hydrology, shifting ice dynamics, and more frequent extreme weather are transforming how contaminants are mobilized, retained, and transformed. Climate-driven changes are remobilizing historically deposited and long-range transported pollutants, producing episodic pulses of exposure as previously sequestered chemicals—including persistent organic pollutants (POPs) and emerging contaminants—enter active environmental cycles. Enhanced contaminant transport from thawing permafrost and secondary release from former deposition sites has been documented, complicating the distinction between local and distant sources and amplifying exposure risks to ecosystems and people. </w:t>
      </w:r>
    </w:p>
    <w:p w14:paraId="0361586C" w14:textId="77777777" w:rsidR="000814F4" w:rsidRDefault="000814F4" w:rsidP="000814F4">
      <w:pPr>
        <w:pStyle w:val="NormalWeb"/>
        <w:rPr>
          <w:rFonts w:eastAsiaTheme="minorEastAsia"/>
        </w:rPr>
      </w:pPr>
      <w:r w:rsidRPr="00716CB9">
        <w:t xml:space="preserve">Within this coupled global-local context, Cambridge Bay faces a compound threat: local inputs (e.g., fuel handling and transport, community runoff, and lagoon dynamics that can trap and later release pollutants) are superimposed on climate-driven reactivation of stored contaminants. Key emerging pollutants of concern—microplastics, PFAS, oil-derived compounds, and flame retardants—are persistent under cold conditions and prone to bioaccumulation. </w:t>
      </w:r>
    </w:p>
    <w:p w14:paraId="4889DBD5" w14:textId="77777777" w:rsidR="000814F4" w:rsidRPr="006E3E6C" w:rsidRDefault="000814F4" w:rsidP="000814F4">
      <w:pPr>
        <w:pStyle w:val="NormalWeb"/>
        <w:numPr>
          <w:ilvl w:val="0"/>
          <w:numId w:val="10"/>
        </w:numPr>
        <w:rPr>
          <w:rFonts w:eastAsiaTheme="minorEastAsia"/>
        </w:rPr>
      </w:pPr>
      <w:r w:rsidRPr="006E3E6C">
        <w:rPr>
          <w:rFonts w:eastAsiaTheme="minorEastAsia"/>
        </w:rPr>
        <w:t>Microplastics: Small plastic particles (&lt;5mm) that persist in water and sediment, easily ingested by organisms and transferred through the food web.</w:t>
      </w:r>
    </w:p>
    <w:p w14:paraId="6BC367D9" w14:textId="77777777" w:rsidR="000814F4" w:rsidRPr="006E3E6C" w:rsidRDefault="000814F4" w:rsidP="000814F4">
      <w:pPr>
        <w:pStyle w:val="NormalWeb"/>
        <w:numPr>
          <w:ilvl w:val="0"/>
          <w:numId w:val="10"/>
        </w:numPr>
        <w:rPr>
          <w:rFonts w:eastAsiaTheme="minorEastAsia"/>
        </w:rPr>
      </w:pPr>
      <w:r w:rsidRPr="006E3E6C">
        <w:rPr>
          <w:rFonts w:eastAsiaTheme="minorEastAsia"/>
        </w:rPr>
        <w:t>PFAS: Persistent “forever chemicals” used in coatings and firefighting foams; they accumulate in the environment and bodies and are linked to immune and developmental effects.</w:t>
      </w:r>
    </w:p>
    <w:p w14:paraId="4273D822" w14:textId="77777777" w:rsidR="000814F4" w:rsidRPr="006E3E6C" w:rsidRDefault="000814F4" w:rsidP="000814F4">
      <w:pPr>
        <w:pStyle w:val="NormalWeb"/>
        <w:numPr>
          <w:ilvl w:val="0"/>
          <w:numId w:val="10"/>
        </w:numPr>
        <w:rPr>
          <w:rFonts w:eastAsiaTheme="minorEastAsia"/>
        </w:rPr>
      </w:pPr>
      <w:r w:rsidRPr="006E3E6C">
        <w:rPr>
          <w:rFonts w:eastAsiaTheme="minorEastAsia"/>
        </w:rPr>
        <w:t>Oil-derived pollutants: Hydrocarbons from fuels and leaks (e.g., PAHs) that degrade slowly in cold conditions, accumulating in sediments and organisms with toxic effects.</w:t>
      </w:r>
    </w:p>
    <w:p w14:paraId="71376432" w14:textId="77777777" w:rsidR="000814F4" w:rsidRDefault="000814F4" w:rsidP="000814F4">
      <w:pPr>
        <w:pStyle w:val="NormalWeb"/>
        <w:numPr>
          <w:ilvl w:val="0"/>
          <w:numId w:val="10"/>
        </w:numPr>
        <w:rPr>
          <w:rFonts w:eastAsiaTheme="minorEastAsia"/>
        </w:rPr>
      </w:pPr>
      <w:r w:rsidRPr="006E3E6C">
        <w:rPr>
          <w:rFonts w:eastAsiaTheme="minorEastAsia"/>
        </w:rPr>
        <w:t xml:space="preserve">Flame retardants (e.g., PBDEs): Chemicals added to reduce flammability; they are persistent, </w:t>
      </w:r>
      <w:proofErr w:type="spellStart"/>
      <w:r w:rsidRPr="006E3E6C">
        <w:rPr>
          <w:rFonts w:eastAsiaTheme="minorEastAsia"/>
        </w:rPr>
        <w:t>bioaccumulative</w:t>
      </w:r>
      <w:proofErr w:type="spellEnd"/>
      <w:r w:rsidRPr="006E3E6C">
        <w:rPr>
          <w:rFonts w:eastAsiaTheme="minorEastAsia"/>
        </w:rPr>
        <w:t>, and can disrupt endocrine and metabolic systems, often exceeding safety thresholds.</w:t>
      </w:r>
    </w:p>
    <w:p w14:paraId="750BB5D1" w14:textId="77777777" w:rsidR="000814F4" w:rsidRPr="00716CB9" w:rsidRDefault="000814F4" w:rsidP="000814F4">
      <w:pPr>
        <w:pStyle w:val="NormalWeb"/>
      </w:pPr>
      <w:r w:rsidRPr="00716CB9">
        <w:t xml:space="preserve">Previous Northern Contaminants Program (NCP) work in similar Arctic communities revealed widespread PBDEs and other flame retardants, in many cases at levels </w:t>
      </w:r>
      <w:r w:rsidRPr="00716CB9">
        <w:lastRenderedPageBreak/>
        <w:t xml:space="preserve">exceeding national guideline or risk thresholds, indicating more than mere presence: a current or looming substantive threat to food security, cultural practices, and community health. Climate change further modulates these dynamics, altering long-range transport, degradation, and trophic transfer of contaminants, which increases uncertainty and urgency in understanding local exposures. </w:t>
      </w:r>
    </w:p>
    <w:p w14:paraId="5D4B033E" w14:textId="77777777" w:rsidR="000814F4" w:rsidRPr="00716CB9" w:rsidRDefault="000814F4" w:rsidP="000814F4">
      <w:pPr>
        <w:pStyle w:val="NormalWeb"/>
      </w:pPr>
      <w:r w:rsidRPr="00716CB9">
        <w:t xml:space="preserve">Direct local evidence demonstrates that contamination is already interacting with Cambridge Bay’s food web. Studies near </w:t>
      </w:r>
      <w:proofErr w:type="spellStart"/>
      <w:r w:rsidRPr="00716CB9">
        <w:t>Iqaluktuuttiaq</w:t>
      </w:r>
      <w:proofErr w:type="spellEnd"/>
      <w:r w:rsidRPr="00716CB9">
        <w:t xml:space="preserve"> (Cambridge Bay) found microplastics in 95% of sampled Arctic char, with microplastics also ubiquitous in associated water and sediment, showing that these particles have penetrated culturally and nutritionally important species. Field observations and local assessments further document macro- and micro-plastic pollution along shorelines, signaling ongoing inputs and in situ fragmentation that can sustain and amplify contamination in the nearshore zone. These contamination pathways are of particular concern because Arctic food webs are prone to bioaccumulation and biomagnification of lipophilic and persistent substances, concentrating exposure in higher trophic-level species and ultimately in people who rely on traditional foods. </w:t>
      </w:r>
    </w:p>
    <w:p w14:paraId="21C84628" w14:textId="77777777" w:rsidR="000814F4" w:rsidRPr="00716CB9" w:rsidRDefault="000814F4" w:rsidP="000814F4">
      <w:pPr>
        <w:pStyle w:val="NormalWeb"/>
      </w:pPr>
      <w:r w:rsidRPr="00716CB9">
        <w:t xml:space="preserve">PFAS represent a parallel and synergistic concern. These compounds are ubiquitous in the Arctic due to long-range transport and are increasingly mobilized from thawing permafrost and cryosphere reservoirs, converting once-stable stores into active sources. Their persistence, bioaccumulate nature, and presence even in remote human populations have led to measurements in some Arctic communities exceeding health-based thresholds, linking exposure to immune, reproductive, and other adverse effects. </w:t>
      </w:r>
    </w:p>
    <w:p w14:paraId="1B381DD6" w14:textId="77777777" w:rsidR="000814F4" w:rsidRPr="00716CB9" w:rsidRDefault="000814F4" w:rsidP="000814F4">
      <w:pPr>
        <w:pStyle w:val="NormalWeb"/>
      </w:pPr>
      <w:r w:rsidRPr="00716CB9">
        <w:t>Collectively, these processes create a dynamic, multi-dimensional contamination landscape: pollutants originate from both remote and local sources, are modulated seasonally and climatically, and interact with ecological and cultural pathways in ways that can elevate risk. The lack of a comprehensive, seasonally resolved understanding of how emerging contaminants are transported, transformed, and bioaccumulated in Cambridge Bay—particularly under coupled climate stressors—leaves the community with critical blind spots in risk perception and response capacity.</w:t>
      </w:r>
    </w:p>
    <w:p w14:paraId="52DD6226" w14:textId="77777777" w:rsidR="000814F4" w:rsidRDefault="000814F4" w:rsidP="000814F4">
      <w:pPr>
        <w:pStyle w:val="NormalWeb"/>
      </w:pPr>
      <w:r>
        <w:t>This project responds to that urgency by combining field-based and mechanistic approaches to generate actionable, locally relevant insight. Field observations are carried out in close partnership with the Arctic Research Foundation (ARF), leveraging their Cambridge Bay research vessel and established community relationships to ensure logistics, sampling access, and local engagement are feasible and culturally grounded. These observations are integrated with controlled laboratory simulations conducted in our NRPOP laboratory (with potential future collaborations, e.g., CHARS and ECCC, as examples) to reconstruct Arctic-relevant environmental conditions, elucidate contaminant fate and transformation pathways, and model trophic transfer and food-web accumulation using non-invasive indicators and community-guided approaches. All sampling and interpretation activities are co-designed with local partners to ensure they reflect and respect community priorities and use patterns.</w:t>
      </w:r>
    </w:p>
    <w:p w14:paraId="120B299E" w14:textId="77777777" w:rsidR="000814F4" w:rsidRDefault="000814F4" w:rsidP="000814F4">
      <w:pPr>
        <w:pStyle w:val="NormalWeb"/>
        <w:rPr>
          <w:rFonts w:eastAsiaTheme="minorEastAsia"/>
        </w:rPr>
      </w:pPr>
      <w:r>
        <w:lastRenderedPageBreak/>
        <w:t>Framed as an EU-led initiative embedded in an international comparative context and supported by Canada’s New Frontiers in Research Fund, this study holds dual value. Locally, it delivers urgently needed evidence to inform community health protection, food security, and adaptive environmental stewardship, while simultaneously building capacity and co-developing mitigation strategies with Cambridge Bay collaborators. Globally, aligning methodologies and data with other Arctic and sub-Arctic efforts enables differentiation of local vs. widespread patterns and strengthens the development of transferable, evidence-based policies to bolster resilience of northern communities facing emerging contaminant threats in a changing climate.</w:t>
      </w:r>
    </w:p>
    <w:p w14:paraId="514855C2" w14:textId="77777777" w:rsidR="000814F4" w:rsidRPr="00716CB9" w:rsidRDefault="000814F4" w:rsidP="000814F4">
      <w:pPr>
        <w:pStyle w:val="NormalWeb"/>
        <w:rPr>
          <w:rFonts w:eastAsiaTheme="minorEastAsia"/>
        </w:rPr>
      </w:pPr>
      <w:r w:rsidRPr="00716CB9">
        <w:rPr>
          <w:b/>
          <w:bCs/>
        </w:rPr>
        <w:t>c) Progress to Date: Describe the results of any work completed to date on the project. Include information on progress in the areas of capacity building, communications, and integration of Inuit knowledge.</w:t>
      </w:r>
    </w:p>
    <w:p w14:paraId="5F0ED8A1" w14:textId="77777777" w:rsidR="000814F4" w:rsidRPr="00716CB9" w:rsidRDefault="000814F4" w:rsidP="000814F4">
      <w:pPr>
        <w:pStyle w:val="NormalWeb"/>
        <w:rPr>
          <w:rFonts w:eastAsiaTheme="minorEastAsia"/>
        </w:rPr>
      </w:pPr>
      <w:r w:rsidRPr="00716CB9">
        <w:rPr>
          <w:rFonts w:eastAsiaTheme="minorEastAsia"/>
        </w:rPr>
        <w:t>The project is currently in its mobilization and early implementation phase. Preparatory work has included planning logistics, identifying key local contacts, and drafting the initial research relationship framework. In August 2025, the core team</w:t>
      </w:r>
      <w:r>
        <w:rPr>
          <w:rFonts w:eastAsiaTheme="minorEastAsia" w:hint="eastAsia"/>
        </w:rPr>
        <w:t xml:space="preserve"> (MUN)</w:t>
      </w:r>
      <w:r w:rsidRPr="00716CB9">
        <w:rPr>
          <w:rFonts w:eastAsiaTheme="minorEastAsia"/>
        </w:rPr>
        <w:t xml:space="preserve"> will travel to Cambridge Bay to conduct in-person consultations with community members, soliciting their input on priorities, intended sampling locations and timing, and to begin negotiating a shared research agreement that reflects mutual expectations and support. These discussions are also shaping the cultural sensitivity of sampling design and the integration of local seasonal knowledge.</w:t>
      </w:r>
    </w:p>
    <w:p w14:paraId="57997A91" w14:textId="77777777" w:rsidR="000814F4" w:rsidRPr="00716CB9" w:rsidRDefault="000814F4" w:rsidP="000814F4">
      <w:pPr>
        <w:pStyle w:val="NormalWeb"/>
        <w:rPr>
          <w:rFonts w:eastAsiaTheme="minorEastAsia"/>
        </w:rPr>
      </w:pPr>
      <w:r>
        <w:t>Concurrently, we are exploring potential collaborations (e.g., with the Canadian High Arctic Research Station) to complement the laboratory component. In our NRPOP lab, protocols to simulate Arctic-relevant environmental conditions and trace contaminant fate and bioaccumulation are being developed.</w:t>
      </w:r>
      <w:r>
        <w:rPr>
          <w:rFonts w:eastAsiaTheme="minorEastAsia" w:hint="eastAsia"/>
        </w:rPr>
        <w:t xml:space="preserve"> </w:t>
      </w:r>
      <w:r w:rsidRPr="00716CB9">
        <w:rPr>
          <w:rFonts w:eastAsiaTheme="minorEastAsia"/>
        </w:rPr>
        <w:t>In parallel, foundational capacity-building materials—including field sampling primers, introductory modules on emerging contaminants, and a draft laboratory training outline—have been developed to support the upcoming community-based training. A preliminary data management framework is in place to securely store incoming field and experimental data while enabling designated community access, and governance principles for shared data stewardship are being co-drafted for review during the August consultations.</w:t>
      </w:r>
    </w:p>
    <w:p w14:paraId="360003F6" w14:textId="77777777" w:rsidR="000814F4" w:rsidRPr="00716CB9" w:rsidRDefault="000814F4" w:rsidP="000814F4">
      <w:pPr>
        <w:pStyle w:val="NormalWeb"/>
        <w:rPr>
          <w:rFonts w:eastAsiaTheme="minorEastAsia"/>
        </w:rPr>
      </w:pPr>
      <w:r>
        <w:t>Initial engagement will begin only after partnership agreements are in place. Once each community has formalized the agreement, we will invite input to identify and pre-qualify local trainees and participants, ensuring clear protections, expectations, and support structures. Communication channels for ongoing feedback—community update sessions and elder/trainee review mechanisms—will be established at that time, setting the stage for iterative refinement before the first field season.</w:t>
      </w:r>
    </w:p>
    <w:p w14:paraId="39A4D4CD" w14:textId="77777777" w:rsidR="000814F4" w:rsidRPr="00716CB9" w:rsidRDefault="000814F4" w:rsidP="000814F4">
      <w:pPr>
        <w:pStyle w:val="NormalWeb"/>
        <w:rPr>
          <w:b/>
          <w:bCs/>
        </w:rPr>
      </w:pPr>
      <w:r w:rsidRPr="00716CB9">
        <w:rPr>
          <w:b/>
          <w:bCs/>
        </w:rPr>
        <w:t>d) Recruitment: How will each type of participant be recruited, who will recruit each type of participant, and what materials will be used for or during recruitment.</w:t>
      </w:r>
    </w:p>
    <w:p w14:paraId="03848D8D" w14:textId="77777777" w:rsidR="000814F4" w:rsidRPr="00716CB9" w:rsidRDefault="000814F4" w:rsidP="000814F4">
      <w:pPr>
        <w:pStyle w:val="NormalWeb"/>
        <w:rPr>
          <w:rFonts w:eastAsiaTheme="minorEastAsia"/>
        </w:rPr>
      </w:pPr>
      <w:r>
        <w:t>Participant recruitment is designed as a community-driven training-and-hiring pipeline with formal safeguards and agreements. Recruitment categories include community-</w:t>
      </w:r>
      <w:r>
        <w:lastRenderedPageBreak/>
        <w:t>nominated field trainees and research assistants (primarily youth and other interested residents), local field support personnel, cultural knowledge advisors (e.g., elders), and biological sampling collaborators—culturally important fish harvested by local community members (no direct fishing by our team), with export of those fish handled under the DFO scientific-sampling license process.</w:t>
      </w:r>
    </w:p>
    <w:p w14:paraId="0F36FBDE" w14:textId="77777777" w:rsidR="000814F4" w:rsidRPr="00716CB9" w:rsidRDefault="000814F4" w:rsidP="000814F4">
      <w:pPr>
        <w:pStyle w:val="NormalWeb"/>
        <w:rPr>
          <w:rFonts w:eastAsiaTheme="minorEastAsia"/>
        </w:rPr>
      </w:pPr>
      <w:r w:rsidRPr="00716CB9">
        <w:rPr>
          <w:rFonts w:eastAsiaTheme="minorEastAsia"/>
        </w:rPr>
        <w:t xml:space="preserve">Recruitment will be conducted jointly by the research team and designated community liaisons identified during the </w:t>
      </w:r>
      <w:r>
        <w:rPr>
          <w:rFonts w:eastAsiaTheme="minorEastAsia"/>
        </w:rPr>
        <w:t>initial</w:t>
      </w:r>
      <w:r w:rsidRPr="00716CB9">
        <w:rPr>
          <w:rFonts w:eastAsiaTheme="minorEastAsia"/>
        </w:rPr>
        <w:t xml:space="preserve"> Cambridge Bay consultations. Community members will nominate candidates for training and participation, ensuring alignment with local priorities and </w:t>
      </w:r>
      <w:r w:rsidRPr="00716CB9">
        <w:t>interests</w:t>
      </w:r>
      <w:r w:rsidRPr="00716CB9">
        <w:rPr>
          <w:rFonts w:eastAsiaTheme="minorEastAsia"/>
        </w:rPr>
        <w:t xml:space="preserve">. To operationalize this, the project is working toward formalizing partnership agreements with local schools or community institutions, defining roles, employment conditions, training pathways, compensation terms, and risk/benefit protections. These agreements will explicitly lay out expectations, including safety protocols, avenues for raising concerns, and </w:t>
      </w:r>
      <w:r w:rsidRPr="00716CB9">
        <w:t>support</w:t>
      </w:r>
      <w:r w:rsidRPr="00716CB9">
        <w:rPr>
          <w:rFonts w:eastAsiaTheme="minorEastAsia"/>
        </w:rPr>
        <w:t xml:space="preserve"> in case of any adverse outcomes, thereby ensuring participants’ rights and well-being are protected.</w:t>
      </w:r>
    </w:p>
    <w:p w14:paraId="4B693C7A" w14:textId="77777777" w:rsidR="000814F4" w:rsidRDefault="000814F4" w:rsidP="000814F4">
      <w:pPr>
        <w:pStyle w:val="NormalWeb"/>
      </w:pPr>
      <w:r>
        <w:t>Outreach and selection will use culturally appropriate, accessible channels—community meetings, informational sessions, word-of-mouth through trusted contacts, and plain-language materials outlining project goals, roles, benefits, and consent processes. Materials will include field- and lab-training guides, “what to expect” summaries, verbal and written consent scripts co-developed with community representatives, and clear opt-out procedures. Elders and knowledge holders will be approached respectfully and compensated according to community norms.</w:t>
      </w:r>
    </w:p>
    <w:p w14:paraId="1F420371" w14:textId="77777777" w:rsidR="000814F4" w:rsidRDefault="000814F4" w:rsidP="000814F4">
      <w:pPr>
        <w:pStyle w:val="NormalWeb"/>
      </w:pPr>
      <w:r>
        <w:t>Training is integrated with hiring: selected participants receive hands-on instruction in sampling techniques, environmental measurements, and, where applicable, introductory laboratory work. Throughout recruitment and participation, we will minimize risk through mandatory safety training, appropriate personal protective equipment, clear communication of protocols, and a designated local point of contact for concerns. This collaborative model fosters shared ownership, transparency, and lasting community capacity.</w:t>
      </w:r>
    </w:p>
    <w:p w14:paraId="428AC7D7" w14:textId="77777777" w:rsidR="000814F4" w:rsidRPr="00716CB9" w:rsidRDefault="000814F4" w:rsidP="000814F4">
      <w:pPr>
        <w:pStyle w:val="NormalWeb"/>
        <w:rPr>
          <w:rFonts w:eastAsiaTheme="minorEastAsia"/>
          <w:b/>
          <w:bCs/>
        </w:rPr>
      </w:pPr>
      <w:r w:rsidRPr="00716CB9">
        <w:rPr>
          <w:b/>
          <w:bCs/>
        </w:rPr>
        <w:t>e) Methodology: Describe and justify the research design, research methodology, data analysis techniques, and the ethical research protocols to be followed (e.g. protocols to secure informed consent, community engagement). Explain where and when the work will be carried out and justify the selection of research locations.</w:t>
      </w:r>
    </w:p>
    <w:p w14:paraId="54FAE3FC" w14:textId="139CF6D8" w:rsidR="000814F4" w:rsidRPr="00714D1F" w:rsidRDefault="000814F4" w:rsidP="000814F4">
      <w:pPr>
        <w:pStyle w:val="NormalWeb"/>
        <w:rPr>
          <w:rFonts w:eastAsiaTheme="minorEastAsia"/>
        </w:rPr>
      </w:pPr>
      <w:r w:rsidRPr="00714D1F">
        <w:rPr>
          <w:rFonts w:eastAsiaTheme="minorEastAsia"/>
        </w:rPr>
        <w:t xml:space="preserve">This research employs a mixed, complementary design combining field-based observational sampling with controlled laboratory experimentation to characterize the presence, fate, transport, and food-web implications of emerging contaminants in the Cambridge Bay region. Sampling locations are chosen for their proximity to likely contaminant inputs (e.g., fuel handling/transfer zones, community runoff pathways, lagoon and nearshore retention areas) and their importance to local subsistence and ecological functions. Seasonal campaigns—spring thaw, summer open-water, autumn </w:t>
      </w:r>
      <w:proofErr w:type="gramStart"/>
      <w:r w:rsidRPr="00714D1F">
        <w:rPr>
          <w:rFonts w:eastAsiaTheme="minorEastAsia"/>
        </w:rPr>
        <w:t>break-up</w:t>
      </w:r>
      <w:proofErr w:type="gramEnd"/>
      <w:r w:rsidRPr="00714D1F">
        <w:rPr>
          <w:rFonts w:eastAsiaTheme="minorEastAsia"/>
        </w:rPr>
        <w:t xml:space="preserve">, and winter ice conditions—capture dynamic environmental drivers (thaw, ice </w:t>
      </w:r>
      <w:r w:rsidRPr="00714D1F">
        <w:rPr>
          <w:rFonts w:eastAsiaTheme="minorEastAsia"/>
        </w:rPr>
        <w:lastRenderedPageBreak/>
        <w:t>dynamics, hydrology) to develop a temporally resolved understanding of contaminant behavior under real-world variability.</w:t>
      </w:r>
    </w:p>
    <w:p w14:paraId="380929F7" w14:textId="77777777" w:rsidR="000814F4" w:rsidRPr="000814F4" w:rsidRDefault="000814F4" w:rsidP="000814F4">
      <w:pPr>
        <w:pStyle w:val="NormalWeb"/>
        <w:rPr>
          <w:rFonts w:eastAsiaTheme="minorEastAsia"/>
          <w:b/>
          <w:bCs/>
        </w:rPr>
      </w:pPr>
      <w:bookmarkStart w:id="0" w:name="_Hlk205293071"/>
      <w:r w:rsidRPr="000814F4">
        <w:rPr>
          <w:rFonts w:eastAsiaTheme="minorEastAsia"/>
          <w:b/>
          <w:bCs/>
        </w:rPr>
        <w:t>1. Field Sampling and Environmental Monitoring</w:t>
      </w:r>
    </w:p>
    <w:p w14:paraId="529BC664" w14:textId="77777777" w:rsidR="000814F4" w:rsidRPr="00714D1F" w:rsidRDefault="000814F4" w:rsidP="000814F4">
      <w:pPr>
        <w:pStyle w:val="NormalWeb"/>
        <w:rPr>
          <w:rFonts w:eastAsiaTheme="minorEastAsia"/>
        </w:rPr>
      </w:pPr>
      <w:r w:rsidRPr="00714D1F">
        <w:rPr>
          <w:rFonts w:eastAsiaTheme="minorEastAsia"/>
        </w:rPr>
        <w:t xml:space="preserve">Field teams, traveling overland by vehicle with local guides to inland sites and using the ARF </w:t>
      </w:r>
      <w:r>
        <w:rPr>
          <w:rFonts w:eastAsiaTheme="minorEastAsia"/>
        </w:rPr>
        <w:t>R/V Blue Nanuk or Marten Bergmann</w:t>
      </w:r>
      <w:r w:rsidRPr="00714D1F">
        <w:rPr>
          <w:rFonts w:eastAsiaTheme="minorEastAsia"/>
        </w:rPr>
        <w:t xml:space="preserve"> under community-led direction for nearshore and lagoon access, will conduct four seasonal campaigns per year over the multi-year project. This dual access strategy ensures appropriate site coverage while minimizing disruption, with local partners guiding site identification and logistics.</w:t>
      </w:r>
    </w:p>
    <w:p w14:paraId="3D16C61E" w14:textId="77777777" w:rsidR="000814F4" w:rsidRPr="00714D1F" w:rsidRDefault="000814F4" w:rsidP="000814F4">
      <w:pPr>
        <w:pStyle w:val="NormalWeb"/>
        <w:rPr>
          <w:rFonts w:eastAsiaTheme="minorEastAsia"/>
        </w:rPr>
      </w:pPr>
      <w:r w:rsidRPr="00714D1F">
        <w:rPr>
          <w:rFonts w:eastAsiaTheme="minorEastAsia"/>
        </w:rPr>
        <w:t>Sample types include:</w:t>
      </w:r>
    </w:p>
    <w:p w14:paraId="2DBB33EF" w14:textId="77777777" w:rsidR="000814F4" w:rsidRPr="00714D1F" w:rsidRDefault="000814F4" w:rsidP="000814F4">
      <w:pPr>
        <w:pStyle w:val="NormalWeb"/>
        <w:ind w:left="720"/>
        <w:rPr>
          <w:rFonts w:eastAsiaTheme="minorEastAsia"/>
        </w:rPr>
      </w:pPr>
      <w:r>
        <w:t xml:space="preserve">• </w:t>
      </w:r>
      <w:r>
        <w:rPr>
          <w:rStyle w:val="Strong"/>
          <w:rFonts w:eastAsiaTheme="majorEastAsia"/>
        </w:rPr>
        <w:t>Water samples:</w:t>
      </w:r>
      <w:r>
        <w:t xml:space="preserve"> Use clean, pre-cleaned glass or Teflon-lined containers to collect surface, mid-depth, and bottom water. Perform filtration for microplastics and apply preservation protocols for dissolved-phase and particulate-phase PFAS, oil-derived compounds, and flame retardants.</w:t>
      </w:r>
      <w:r>
        <w:br/>
        <w:t xml:space="preserve">• </w:t>
      </w:r>
      <w:r>
        <w:rPr>
          <w:rStyle w:val="Strong"/>
          <w:rFonts w:eastAsiaTheme="majorEastAsia"/>
        </w:rPr>
        <w:t>Sediment and permafrost samples:</w:t>
      </w:r>
      <w:r>
        <w:t xml:space="preserve"> Deploy grab samplers and coring tools to retrieve sediments and thaw-related materials, enabling assessment of historical/current deposition, storage, and potential remobilization.</w:t>
      </w:r>
      <w:r>
        <w:br/>
        <w:t xml:space="preserve">• </w:t>
      </w:r>
      <w:r>
        <w:rPr>
          <w:rStyle w:val="Strong"/>
          <w:rFonts w:eastAsiaTheme="majorEastAsia"/>
        </w:rPr>
        <w:t>Biological samples:</w:t>
      </w:r>
      <w:r>
        <w:t xml:space="preserve"> Focus on microbial communities and microalgae as early indicators and vectors. Culturally and nutritionally important fish species will </w:t>
      </w:r>
      <w:r>
        <w:rPr>
          <w:rStyle w:val="Strong"/>
          <w:rFonts w:eastAsiaTheme="majorEastAsia"/>
        </w:rPr>
        <w:t>not</w:t>
      </w:r>
      <w:r>
        <w:t xml:space="preserve"> be sampled directly by our team; instead, we will obtain fish only from local harvests provided by community fishers, and only after securing necessary permits and community approval. Use non-lethal or minimally invasive methods for any additional biological sampling where feasible.</w:t>
      </w:r>
      <w:r>
        <w:br/>
        <w:t xml:space="preserve">• </w:t>
      </w:r>
      <w:r>
        <w:rPr>
          <w:rStyle w:val="Strong"/>
          <w:rFonts w:eastAsiaTheme="majorEastAsia"/>
        </w:rPr>
        <w:t>Contextual environmental data:</w:t>
      </w:r>
      <w:r>
        <w:t xml:space="preserve"> Record temperature, ice/thaw status, and hydrological conditions with sensors and manual measurements to correlate contaminant distributions with climate-driven variability.</w:t>
      </w:r>
    </w:p>
    <w:p w14:paraId="01C412CC" w14:textId="77777777" w:rsidR="000814F4" w:rsidRDefault="000814F4" w:rsidP="000814F4">
      <w:pPr>
        <w:pStyle w:val="NormalWeb"/>
        <w:rPr>
          <w:rFonts w:eastAsiaTheme="minorEastAsia"/>
        </w:rPr>
      </w:pPr>
      <w:r>
        <w:t>All fieldwork is co-designed with local partners to reflect seasonal subsistence patterns and cultural sensitivities, with community-nominated trainees working alongside research staff to ensure local knowledge informs in situ decisions and builds sustained capacity.</w:t>
      </w:r>
    </w:p>
    <w:bookmarkEnd w:id="0"/>
    <w:p w14:paraId="5A11CDB6" w14:textId="77777777" w:rsidR="000814F4" w:rsidRPr="00716CB9" w:rsidRDefault="000814F4" w:rsidP="000814F4">
      <w:pPr>
        <w:pStyle w:val="NormalWeb"/>
      </w:pPr>
      <w:r w:rsidRPr="00716CB9">
        <w:rPr>
          <w:rStyle w:val="Strong"/>
          <w:rFonts w:eastAsiaTheme="majorEastAsia"/>
        </w:rPr>
        <w:t>2. Laboratory Experiments and Mechanistic Studies</w:t>
      </w:r>
      <w:r w:rsidRPr="00716CB9">
        <w:br/>
      </w:r>
      <w:r>
        <w:t>In parallel with field observations, we will conduct controlled laboratory studies in the NRPOP laboratory and partner facilities to simulate Arctic conditions—low temperature, freeze–thaw cycles, and variable salinity/ice presence. These experiments will:</w:t>
      </w:r>
    </w:p>
    <w:p w14:paraId="780DA265"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Track the fate and transformation of target contaminants (microplastics, PFAS, oil-derived chemicals, and flame retardants), including degradation pathways, sorption/desorption behavior, and formation of secondary products under conditions reflective of Cambridge Bay seasonal variability.</w:t>
      </w:r>
    </w:p>
    <w:p w14:paraId="3E1C0762"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 xml:space="preserve">Evaluate bioaccumulation and trophic transfer by exposing representative model organisms (and, if appropriate under community guidance, </w:t>
      </w:r>
      <w:r w:rsidRPr="00716CB9">
        <w:rPr>
          <w:rStyle w:val="Strong"/>
          <w:rFonts w:eastAsiaTheme="majorEastAsia"/>
        </w:rPr>
        <w:lastRenderedPageBreak/>
        <w:t>components of local food webs) to environmentally relevant concentrations, measuring uptake, depuration, and interspecies transfer.</w:t>
      </w:r>
    </w:p>
    <w:p w14:paraId="54541CD5"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Integrate microbial response assays, assessing how microbial communities’ mediate transformation or sequestration of contaminants and how contaminant exposure alters microbial community structure (e.g., via sequencing-based profiling).</w:t>
      </w:r>
    </w:p>
    <w:p w14:paraId="39E2F63D" w14:textId="77777777" w:rsidR="000814F4" w:rsidRPr="00716CB9" w:rsidRDefault="000814F4" w:rsidP="000814F4">
      <w:pPr>
        <w:pStyle w:val="NormalWeb"/>
      </w:pPr>
      <w:r w:rsidRPr="00716CB9">
        <w:rPr>
          <w:rStyle w:val="Strong"/>
          <w:rFonts w:eastAsiaTheme="majorEastAsia"/>
        </w:rPr>
        <w:t>3. Analytical Techniques and Data Analysis</w:t>
      </w:r>
      <w:r w:rsidRPr="00716CB9">
        <w:br/>
        <w:t>Chemical and physical characterization will employ established, high-resolution methods:</w:t>
      </w:r>
    </w:p>
    <w:p w14:paraId="530D5A5A"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GC-MS / GC-MS/MS for oil-derived markers and flame-retardant compounds to identify parent compounds and transformation products.</w:t>
      </w:r>
    </w:p>
    <w:p w14:paraId="42500084"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LC-MS/MS for quantification of PFAS species, including short- and long-chain variants.</w:t>
      </w:r>
    </w:p>
    <w:p w14:paraId="1230AF48"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Spectroscopic and microscopic techniques (e.g., FTIR, Raman, and fluorescence microscopy) to detect, classify, and quantify microplastics and microfibers in environmental and biological matrices.</w:t>
      </w:r>
    </w:p>
    <w:p w14:paraId="70C12323"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Molecular sequencing (metagenomics/</w:t>
      </w:r>
      <w:proofErr w:type="spellStart"/>
      <w:r w:rsidRPr="00716CB9">
        <w:rPr>
          <w:rStyle w:val="Strong"/>
          <w:rFonts w:eastAsiaTheme="majorEastAsia"/>
        </w:rPr>
        <w:t>metatranscriptomics</w:t>
      </w:r>
      <w:proofErr w:type="spellEnd"/>
      <w:r w:rsidRPr="00716CB9">
        <w:rPr>
          <w:rStyle w:val="Strong"/>
          <w:rFonts w:eastAsiaTheme="majorEastAsia"/>
        </w:rPr>
        <w:t>) for microbial community analysis, elucidating shifts in composition or functional potential under contaminant pressure.</w:t>
      </w:r>
    </w:p>
    <w:p w14:paraId="3C6DE895"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Stable isotope analysis (e.g., δ13C, δ15N) and food-web modelling to contextualize trophic position and support bioaccumulation pathway reconstruction.</w:t>
      </w:r>
    </w:p>
    <w:p w14:paraId="5F806123" w14:textId="77777777" w:rsidR="000814F4" w:rsidRPr="00716CB9" w:rsidRDefault="000814F4" w:rsidP="000814F4">
      <w:pPr>
        <w:pStyle w:val="NormalWeb"/>
      </w:pPr>
      <w:r w:rsidRPr="00716CB9">
        <w:t>Collected datasets will be integrated using statistical and mechanistic modelling approaches to:</w:t>
      </w:r>
    </w:p>
    <w:p w14:paraId="5B1B60B8"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Trace transport pathways (source to sink dynamics) of contaminants.</w:t>
      </w:r>
    </w:p>
    <w:p w14:paraId="445A46FD"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Quantify seasonal variability and link to environmental drivers (e.g., temperature, ice melt).</w:t>
      </w:r>
    </w:p>
    <w:p w14:paraId="56623113" w14:textId="77777777" w:rsidR="000814F4" w:rsidRPr="00716CB9" w:rsidRDefault="000814F4" w:rsidP="000814F4">
      <w:pPr>
        <w:pStyle w:val="NormalWeb"/>
        <w:numPr>
          <w:ilvl w:val="0"/>
          <w:numId w:val="9"/>
        </w:numPr>
        <w:rPr>
          <w:rStyle w:val="Strong"/>
          <w:rFonts w:eastAsiaTheme="majorEastAsia"/>
          <w:b w:val="0"/>
          <w:bCs w:val="0"/>
        </w:rPr>
      </w:pPr>
      <w:r w:rsidRPr="00716CB9">
        <w:rPr>
          <w:rStyle w:val="Strong"/>
          <w:rFonts w:eastAsiaTheme="majorEastAsia"/>
        </w:rPr>
        <w:t>Model bioaccumulation and potential exposure in key species, combining empirical field measurements with lab-derived parameters to estimate ecological and human-health risks.</w:t>
      </w:r>
    </w:p>
    <w:p w14:paraId="10018597" w14:textId="77777777" w:rsidR="000814F4" w:rsidRPr="00716CB9" w:rsidRDefault="000814F4" w:rsidP="000814F4">
      <w:pPr>
        <w:pStyle w:val="NormalWeb"/>
      </w:pPr>
      <w:r w:rsidRPr="00716CB9">
        <w:rPr>
          <w:rStyle w:val="Strong"/>
          <w:rFonts w:eastAsiaTheme="majorEastAsia"/>
        </w:rPr>
        <w:t>4. Quality Assurance / Quality Control and Chain of Custody</w:t>
      </w:r>
      <w:r w:rsidRPr="00716CB9">
        <w:br/>
        <w:t>Rigorous QA/QC procedures will be implemented throughout. Field protocols include the collection of field blanks, trip blanks, duplicates, and use of pre-cleaned equipment to minimize contamination. Calibration standards and recovery checks will be run regularly in laboratory analyses. A documented chain-of-custody will accompany all environmental and biological samples from collection through analysis to ensure traceability and integrity of data.</w:t>
      </w:r>
    </w:p>
    <w:p w14:paraId="256EA39C" w14:textId="77777777" w:rsidR="000814F4" w:rsidRPr="00716CB9" w:rsidRDefault="000814F4" w:rsidP="000814F4">
      <w:pPr>
        <w:pStyle w:val="NormalWeb"/>
      </w:pPr>
      <w:r w:rsidRPr="00716CB9">
        <w:rPr>
          <w:rStyle w:val="Strong"/>
          <w:rFonts w:eastAsiaTheme="majorEastAsia"/>
        </w:rPr>
        <w:t>5. Ethical and Engagement Protocols</w:t>
      </w:r>
      <w:r w:rsidRPr="00716CB9">
        <w:br/>
      </w:r>
      <w:r>
        <w:t xml:space="preserve">Ethical research practices are embedded throughout. Research design, sampling plans, and interpretation frameworks are co-developed with local community collaborators via negotiated, mutually understood research relationship principles. Inuit knowledge holders </w:t>
      </w:r>
      <w:r>
        <w:lastRenderedPageBreak/>
        <w:t>will contribute to site selection, timing, and interpretation of results, with mechanisms in place for ongoing feedback and validation. Informed consent procedures are adapted to local cultural norms (verbal and/or written), with transparent communication of rights, uses of data, and withdrawal options. Fish sampling and any sensitive biological collection will only proceed with the appropriate territorial/federal permits and after community input and approval. Participant safety and risk minimization (including training, use of PPE, and emergency response awareness) are integrated into every stage.</w:t>
      </w:r>
    </w:p>
    <w:p w14:paraId="20876287" w14:textId="77777777" w:rsidR="000814F4" w:rsidRPr="00716CB9" w:rsidRDefault="000814F4" w:rsidP="000814F4">
      <w:pPr>
        <w:pStyle w:val="NormalWeb"/>
      </w:pPr>
      <w:r w:rsidRPr="00716CB9">
        <w:rPr>
          <w:rStyle w:val="Strong"/>
          <w:rFonts w:eastAsiaTheme="majorEastAsia"/>
        </w:rPr>
        <w:t>6. Justification of Research Locations and Timing</w:t>
      </w:r>
      <w:r w:rsidRPr="00716CB9">
        <w:br/>
      </w:r>
      <w:r>
        <w:t>We selected Cambridge Bay’s coastal lagoons and nearshore zones for their high contaminant inputs, strong community subsistence links, and sensitivity to climate-driven changes. Seasonal campaigns—targeting thaw, ice dynamics, and hydrological shifts—are critical to capture how these factors influence contaminant transport and bioavailability. Involving local participants in scheduling and site choice ensures alignment with both scientific objectives and community practices.</w:t>
      </w:r>
    </w:p>
    <w:p w14:paraId="04DB9A21" w14:textId="77777777" w:rsidR="000814F4" w:rsidRPr="00716CB9" w:rsidRDefault="000814F4" w:rsidP="000814F4">
      <w:pPr>
        <w:widowControl/>
        <w:spacing w:before="100" w:beforeAutospacing="1" w:after="100" w:afterAutospacing="1" w:line="240" w:lineRule="auto"/>
        <w:jc w:val="left"/>
        <w:outlineLvl w:val="2"/>
        <w:rPr>
          <w:rFonts w:ascii="Times New Roman" w:eastAsia="Times New Roman" w:hAnsi="Times New Roman" w:cs="Times New Roman"/>
          <w:b/>
          <w:bCs/>
          <w:kern w:val="0"/>
          <w:sz w:val="24"/>
          <w:szCs w:val="24"/>
          <w14:ligatures w14:val="none"/>
        </w:rPr>
      </w:pPr>
      <w:r w:rsidRPr="00716CB9">
        <w:rPr>
          <w:rFonts w:ascii="Times New Roman" w:eastAsia="Times New Roman" w:hAnsi="Times New Roman" w:cs="Times New Roman"/>
          <w:b/>
          <w:bCs/>
          <w:kern w:val="0"/>
          <w:sz w:val="24"/>
          <w:szCs w:val="24"/>
          <w14:ligatures w14:val="none"/>
        </w:rPr>
        <w:t>f) Data Management</w:t>
      </w:r>
    </w:p>
    <w:p w14:paraId="77B4A998" w14:textId="77777777" w:rsidR="000814F4" w:rsidRPr="00716CB9" w:rsidRDefault="000814F4" w:rsidP="000814F4">
      <w:pPr>
        <w:pStyle w:val="NormalWeb"/>
      </w:pPr>
      <w:r w:rsidRPr="00716CB9">
        <w:t>Our data management plan is built on principles of security, transparency, shared stewardship, and respect for community interests, including the perspectives and rights of Inuit and Nunavut stakeholders. All data—whether environmental, biological, or knowledge-based—will be collected, stored, and shared under negotiated agreements that define use, access, and ownership in collaboration with local partners.</w:t>
      </w:r>
    </w:p>
    <w:p w14:paraId="68DB229A" w14:textId="77777777" w:rsidR="000814F4" w:rsidRPr="00716CB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b/>
          <w:bCs/>
          <w:kern w:val="0"/>
          <w:sz w:val="24"/>
          <w:szCs w:val="24"/>
          <w14:ligatures w14:val="none"/>
        </w:rPr>
        <w:t>Collection:</w:t>
      </w:r>
      <w:r w:rsidRPr="00716CB9">
        <w:rPr>
          <w:rFonts w:ascii="Times New Roman" w:eastAsia="Times New Roman" w:hAnsi="Times New Roman" w:cs="Times New Roman"/>
          <w:kern w:val="0"/>
          <w:sz w:val="24"/>
          <w:szCs w:val="24"/>
          <w14:ligatures w14:val="none"/>
        </w:rPr>
        <w:t xml:space="preserve"> Data will be gathered following agreed protocols, with informed consent obtained for any knowledge or participation-based information. Biological and environmental data will be accompanied by metadata (sampling location, date, method, participant roles, contextual notes) to ensure traceability, reproducibility, and appropriate interpretation. Traditional ecological knowledge contributions will be documented in formats agreed with knowledge holders, with sensitivity to cultural context and any restrictions they place on sharing.</w:t>
      </w:r>
    </w:p>
    <w:p w14:paraId="39CB6DD9" w14:textId="77777777" w:rsidR="000814F4" w:rsidRPr="00716CB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b/>
          <w:bCs/>
          <w:kern w:val="0"/>
          <w:sz w:val="24"/>
          <w:szCs w:val="24"/>
          <w14:ligatures w14:val="none"/>
        </w:rPr>
        <w:t>Storage &amp; Security:</w:t>
      </w:r>
      <w:r w:rsidRPr="00716CB9">
        <w:rPr>
          <w:rFonts w:ascii="Times New Roman" w:eastAsia="Times New Roman" w:hAnsi="Times New Roman" w:cs="Times New Roman"/>
          <w:kern w:val="0"/>
          <w:sz w:val="24"/>
          <w:szCs w:val="24"/>
          <w14:ligatures w14:val="none"/>
        </w:rPr>
        <w:t xml:space="preserve"> Short-term data will reside on encrypted field devices and secure institutional cloud storage with role-based access controls. Laboratory and analytical data will be stored with versioning and audit trails to track provenance. All repositories will employ password protections, regular backups, and restricted write permissions to prevent unauthorized modification. Sensitive community-contributed information will be segmented and governed separately according to terms co-developed with Inuit partners.</w:t>
      </w:r>
    </w:p>
    <w:p w14:paraId="4C41F9FE" w14:textId="77777777" w:rsidR="000814F4" w:rsidRPr="00716CB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b/>
          <w:bCs/>
          <w:kern w:val="0"/>
          <w:sz w:val="24"/>
          <w:szCs w:val="24"/>
          <w14:ligatures w14:val="none"/>
        </w:rPr>
        <w:t>Sharing &amp; Access:</w:t>
      </w:r>
      <w:r w:rsidRPr="00716CB9">
        <w:rPr>
          <w:rFonts w:ascii="Times New Roman" w:eastAsia="Times New Roman" w:hAnsi="Times New Roman" w:cs="Times New Roman"/>
          <w:kern w:val="0"/>
          <w:sz w:val="24"/>
          <w:szCs w:val="24"/>
          <w14:ligatures w14:val="none"/>
        </w:rPr>
        <w:t xml:space="preserve"> Data sharing will follow a managed-access model. External requests for data will be reviewed jointly with designated community representatives as part of a governance committee to ensure alignment with the originally agreed terms. Community partners will have real-time or near-real-time access to relevant data through a shared portal/interface, and capacity-building sessions will include training on data interpretation and use. Final datasets, along with plain-language summaries</w:t>
      </w:r>
      <w:r>
        <w:rPr>
          <w:rFonts w:ascii="Times New Roman" w:eastAsia="Times New Roman" w:hAnsi="Times New Roman" w:cs="Times New Roman"/>
          <w:kern w:val="0"/>
          <w:sz w:val="24"/>
          <w:szCs w:val="24"/>
          <w14:ligatures w14:val="none"/>
        </w:rPr>
        <w:t>/infographics</w:t>
      </w:r>
      <w:r w:rsidRPr="00716CB9">
        <w:rPr>
          <w:rFonts w:ascii="Times New Roman" w:eastAsia="Times New Roman" w:hAnsi="Times New Roman" w:cs="Times New Roman"/>
          <w:kern w:val="0"/>
          <w:sz w:val="24"/>
          <w:szCs w:val="24"/>
          <w14:ligatures w14:val="none"/>
        </w:rPr>
        <w:t>, will be returned to the community on an ongoing basis.</w:t>
      </w:r>
    </w:p>
    <w:p w14:paraId="1A206F26" w14:textId="77777777" w:rsidR="000814F4" w:rsidRPr="003A49F8" w:rsidRDefault="000814F4" w:rsidP="000814F4">
      <w:pPr>
        <w:widowControl/>
        <w:spacing w:before="100" w:beforeAutospacing="1" w:after="100" w:afterAutospacing="1" w:line="240" w:lineRule="auto"/>
        <w:jc w:val="left"/>
        <w:rPr>
          <w:rFonts w:ascii="Times New Roman" w:eastAsia="Times New Roman" w:hAnsi="Times New Roman" w:cs="Times New Roman"/>
          <w:b/>
          <w:bCs/>
          <w:kern w:val="0"/>
          <w:sz w:val="24"/>
          <w:szCs w:val="24"/>
          <w14:ligatures w14:val="none"/>
        </w:rPr>
      </w:pPr>
      <w:r w:rsidRPr="003A49F8">
        <w:rPr>
          <w:rFonts w:ascii="Times New Roman" w:eastAsia="Times New Roman" w:hAnsi="Times New Roman" w:cs="Times New Roman"/>
          <w:b/>
          <w:bCs/>
          <w:kern w:val="0"/>
          <w:sz w:val="24"/>
          <w:szCs w:val="24"/>
          <w14:ligatures w14:val="none"/>
        </w:rPr>
        <w:lastRenderedPageBreak/>
        <w:t>Data Sovereignty &amp; Ethics</w:t>
      </w:r>
    </w:p>
    <w:p w14:paraId="6954D187" w14:textId="77777777" w:rsidR="000814F4" w:rsidRPr="0089700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897009">
        <w:rPr>
          <w:rFonts w:ascii="Times New Roman" w:eastAsia="Times New Roman" w:hAnsi="Times New Roman" w:cs="Times New Roman"/>
          <w:kern w:val="0"/>
          <w:sz w:val="24"/>
          <w:szCs w:val="24"/>
          <w14:ligatures w14:val="none"/>
        </w:rPr>
        <w:t>All research agreements will be grounded in the principles of OCAP® and CARE, ensuring that Inuit partners maintain full authority over their knowledge, data, and how these are interpreted and shared.</w:t>
      </w:r>
    </w:p>
    <w:p w14:paraId="75F7283E" w14:textId="77777777" w:rsidR="000814F4" w:rsidRPr="0089700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897009">
        <w:rPr>
          <w:rFonts w:ascii="Times New Roman" w:eastAsia="Times New Roman" w:hAnsi="Times New Roman" w:cs="Times New Roman"/>
          <w:kern w:val="0"/>
          <w:sz w:val="24"/>
          <w:szCs w:val="24"/>
          <w14:ligatures w14:val="none"/>
        </w:rPr>
        <w:t>Ownership &amp; Control: Inuit communities and collaborators will retain ownership and decision-making authority over all data and knowledge they contribute or co-produce. No data will be shared, interpreted, or published without their explicit involvement and consent.</w:t>
      </w:r>
    </w:p>
    <w:p w14:paraId="25CFCA8F" w14:textId="77777777" w:rsidR="000814F4" w:rsidRPr="0089700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897009">
        <w:rPr>
          <w:rFonts w:ascii="Times New Roman" w:eastAsia="Times New Roman" w:hAnsi="Times New Roman" w:cs="Times New Roman"/>
          <w:kern w:val="0"/>
          <w:sz w:val="24"/>
          <w:szCs w:val="24"/>
          <w14:ligatures w14:val="none"/>
        </w:rPr>
        <w:t>Access &amp; Possession: Communities will have full and ongoing access to data they co-create, and final copies of datasets and outputs will be stored in community-accessible formats and locations. Possession of data will be negotiated in advance, with options for secure, community-based storage.</w:t>
      </w:r>
    </w:p>
    <w:p w14:paraId="2F9AA97D" w14:textId="77777777" w:rsidR="000814F4" w:rsidRPr="0089700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897009">
        <w:rPr>
          <w:rFonts w:ascii="Times New Roman" w:eastAsia="Times New Roman" w:hAnsi="Times New Roman" w:cs="Times New Roman"/>
          <w:kern w:val="0"/>
          <w:sz w:val="24"/>
          <w:szCs w:val="24"/>
          <w14:ligatures w14:val="none"/>
        </w:rPr>
        <w:t>Collective Benefit: Research must produce tangible benefits for Inuit communities. Data use must serve community goals, priorities, or capacity-building efforts, rather than solely academic or institutional interests.</w:t>
      </w:r>
    </w:p>
    <w:p w14:paraId="5B64FC92" w14:textId="77777777" w:rsidR="000814F4" w:rsidRPr="0089700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897009">
        <w:rPr>
          <w:rFonts w:ascii="Times New Roman" w:eastAsia="Times New Roman" w:hAnsi="Times New Roman" w:cs="Times New Roman"/>
          <w:kern w:val="0"/>
          <w:sz w:val="24"/>
          <w:szCs w:val="24"/>
          <w14:ligatures w14:val="none"/>
        </w:rPr>
        <w:t>Authority to Control &amp; Attribution: Inuit partners will guide how knowledge and data are attributed, cited, or anonymized. Community-preferred attribution practices will be respected, and individual privacy will be protected through anonymization unless otherwise requested.</w:t>
      </w:r>
    </w:p>
    <w:p w14:paraId="4C3A56EA" w14:textId="77777777" w:rsidR="000814F4" w:rsidRPr="0089700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897009">
        <w:rPr>
          <w:rFonts w:ascii="Times New Roman" w:eastAsia="Times New Roman" w:hAnsi="Times New Roman" w:cs="Times New Roman"/>
          <w:kern w:val="0"/>
          <w:sz w:val="24"/>
          <w:szCs w:val="24"/>
          <w14:ligatures w14:val="none"/>
        </w:rPr>
        <w:t>Responsibility &amp; Ethics: Researchers are responsible for upholding ethical commitments that honour Inuit laws, protocols, and timelines. Any public release of data or findings requires prior discussion and informed consent, including the review of draft materials by designated community representatives.</w:t>
      </w:r>
    </w:p>
    <w:p w14:paraId="75251BBB" w14:textId="77777777" w:rsidR="000814F4" w:rsidRPr="00716CB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897009">
        <w:rPr>
          <w:rFonts w:ascii="Times New Roman" w:eastAsia="Times New Roman" w:hAnsi="Times New Roman" w:cs="Times New Roman"/>
          <w:kern w:val="0"/>
          <w:sz w:val="24"/>
          <w:szCs w:val="24"/>
          <w14:ligatures w14:val="none"/>
        </w:rPr>
        <w:t>These protocols reflect a commitment to relational accountability, supporting respectful and reciprocal research relationships that uphold Inuit self-determination, data governance, and cultural values.</w:t>
      </w:r>
    </w:p>
    <w:p w14:paraId="2BA5D523" w14:textId="77777777" w:rsidR="000814F4" w:rsidRPr="003A49F8" w:rsidRDefault="000814F4" w:rsidP="000814F4">
      <w:pPr>
        <w:widowControl/>
        <w:spacing w:before="100" w:beforeAutospacing="1" w:after="100" w:afterAutospacing="1" w:line="240" w:lineRule="auto"/>
        <w:jc w:val="left"/>
        <w:rPr>
          <w:rFonts w:ascii="Times New Roman" w:hAnsi="Times New Roman" w:cs="Times New Roman"/>
          <w:b/>
          <w:bCs/>
          <w:kern w:val="0"/>
          <w:sz w:val="24"/>
          <w:szCs w:val="24"/>
          <w14:ligatures w14:val="none"/>
        </w:rPr>
      </w:pPr>
      <w:r w:rsidRPr="003A49F8">
        <w:rPr>
          <w:rFonts w:ascii="Times New Roman" w:hAnsi="Times New Roman" w:cs="Times New Roman"/>
          <w:b/>
          <w:bCs/>
          <w:kern w:val="0"/>
          <w:sz w:val="24"/>
          <w:szCs w:val="24"/>
          <w14:ligatures w14:val="none"/>
        </w:rPr>
        <w:t>Long-Term Preservation &amp; Reuse</w:t>
      </w:r>
    </w:p>
    <w:p w14:paraId="13EE7177" w14:textId="77777777" w:rsidR="000814F4" w:rsidRPr="00897009" w:rsidRDefault="000814F4" w:rsidP="000814F4">
      <w:pPr>
        <w:widowControl/>
        <w:spacing w:before="100" w:beforeAutospacing="1" w:after="100" w:afterAutospacing="1" w:line="240" w:lineRule="auto"/>
        <w:jc w:val="left"/>
        <w:rPr>
          <w:rFonts w:ascii="Times New Roman" w:hAnsi="Times New Roman" w:cs="Times New Roman"/>
          <w:kern w:val="0"/>
          <w:sz w:val="24"/>
          <w:szCs w:val="24"/>
          <w14:ligatures w14:val="none"/>
        </w:rPr>
      </w:pPr>
      <w:r w:rsidRPr="00897009">
        <w:rPr>
          <w:rFonts w:ascii="Times New Roman" w:hAnsi="Times New Roman" w:cs="Times New Roman"/>
          <w:kern w:val="0"/>
          <w:sz w:val="24"/>
          <w:szCs w:val="24"/>
          <w14:ligatures w14:val="none"/>
        </w:rPr>
        <w:t>Long-term data preservation will be guided by the principles of OCAP® (Ownership, Control, Access, and Possession) and CARE (Collective Benefit, Authority to Control, Responsibility, and Ethics), ensuring Inuit communities retain full sovereignty over how data are stored, accessed, and reused.</w:t>
      </w:r>
    </w:p>
    <w:p w14:paraId="3D839C3A" w14:textId="77777777" w:rsidR="000814F4" w:rsidRPr="00897009" w:rsidRDefault="000814F4" w:rsidP="000814F4">
      <w:pPr>
        <w:widowControl/>
        <w:spacing w:before="100" w:beforeAutospacing="1" w:after="100" w:afterAutospacing="1" w:line="240" w:lineRule="auto"/>
        <w:jc w:val="left"/>
        <w:rPr>
          <w:rFonts w:ascii="Times New Roman" w:hAnsi="Times New Roman" w:cs="Times New Roman"/>
          <w:kern w:val="0"/>
          <w:sz w:val="24"/>
          <w:szCs w:val="24"/>
          <w14:ligatures w14:val="none"/>
        </w:rPr>
      </w:pPr>
      <w:r w:rsidRPr="00897009">
        <w:rPr>
          <w:rFonts w:ascii="Times New Roman" w:hAnsi="Times New Roman" w:cs="Times New Roman"/>
          <w:kern w:val="0"/>
          <w:sz w:val="24"/>
          <w:szCs w:val="24"/>
          <w14:ligatures w14:val="none"/>
        </w:rPr>
        <w:t>Archiving Standards: Data may be deposited in institutional repositories that meet FAIR-like criteria—Findable, Accessible under agreed terms, Interoperable, and Reusable—but only when these repositories can uphold Indigenous data governance principles and respect Inuit-led restrictions.</w:t>
      </w:r>
    </w:p>
    <w:p w14:paraId="7D0D272C" w14:textId="77777777" w:rsidR="000814F4" w:rsidRPr="00897009" w:rsidRDefault="000814F4" w:rsidP="000814F4">
      <w:pPr>
        <w:widowControl/>
        <w:spacing w:before="100" w:beforeAutospacing="1" w:after="100" w:afterAutospacing="1" w:line="240" w:lineRule="auto"/>
        <w:jc w:val="left"/>
        <w:rPr>
          <w:rFonts w:ascii="Times New Roman" w:hAnsi="Times New Roman" w:cs="Times New Roman"/>
          <w:kern w:val="0"/>
          <w:sz w:val="24"/>
          <w:szCs w:val="24"/>
          <w14:ligatures w14:val="none"/>
        </w:rPr>
      </w:pPr>
      <w:r w:rsidRPr="00897009">
        <w:rPr>
          <w:rFonts w:ascii="Times New Roman" w:hAnsi="Times New Roman" w:cs="Times New Roman"/>
          <w:kern w:val="0"/>
          <w:sz w:val="24"/>
          <w:szCs w:val="24"/>
          <w14:ligatures w14:val="none"/>
        </w:rPr>
        <w:lastRenderedPageBreak/>
        <w:t>Community Consent &amp; Oversight: No data—including community knowledge, Traditional Knowledge (TK), or co-produced materials—will be deposited into open-access platforms without prior, informed, and documented consent. TK and culturally sensitive materials will never be made publicly available online unless explicitly approved by designated community leadership.</w:t>
      </w:r>
    </w:p>
    <w:p w14:paraId="7CA4B579" w14:textId="77777777" w:rsidR="000814F4" w:rsidRPr="00897009" w:rsidRDefault="000814F4" w:rsidP="000814F4">
      <w:pPr>
        <w:widowControl/>
        <w:spacing w:before="100" w:beforeAutospacing="1" w:after="100" w:afterAutospacing="1" w:line="240" w:lineRule="auto"/>
        <w:jc w:val="left"/>
        <w:rPr>
          <w:rFonts w:ascii="Times New Roman" w:hAnsi="Times New Roman" w:cs="Times New Roman"/>
          <w:kern w:val="0"/>
          <w:sz w:val="24"/>
          <w:szCs w:val="24"/>
          <w14:ligatures w14:val="none"/>
        </w:rPr>
      </w:pPr>
      <w:r w:rsidRPr="00897009">
        <w:rPr>
          <w:rFonts w:ascii="Times New Roman" w:hAnsi="Times New Roman" w:cs="Times New Roman"/>
          <w:kern w:val="0"/>
          <w:sz w:val="24"/>
          <w:szCs w:val="24"/>
          <w14:ligatures w14:val="none"/>
        </w:rPr>
        <w:t>Metadata &amp; Documentation: All archived datasets will include clear metadata and community-approved documentation to support appropriate reuse by researchers and Inuit stakeholders. Metadata must reflect culturally respectful language and acknowledge the community context in which the data were generated.</w:t>
      </w:r>
    </w:p>
    <w:p w14:paraId="55D2D1C6" w14:textId="77777777" w:rsidR="000814F4" w:rsidRPr="00897009" w:rsidRDefault="000814F4" w:rsidP="000814F4">
      <w:pPr>
        <w:widowControl/>
        <w:spacing w:before="100" w:beforeAutospacing="1" w:after="100" w:afterAutospacing="1" w:line="240" w:lineRule="auto"/>
        <w:jc w:val="left"/>
        <w:rPr>
          <w:rFonts w:ascii="Times New Roman" w:hAnsi="Times New Roman" w:cs="Times New Roman"/>
          <w:kern w:val="0"/>
          <w:sz w:val="24"/>
          <w:szCs w:val="24"/>
          <w14:ligatures w14:val="none"/>
        </w:rPr>
      </w:pPr>
      <w:r w:rsidRPr="00897009">
        <w:rPr>
          <w:rFonts w:ascii="Times New Roman" w:hAnsi="Times New Roman" w:cs="Times New Roman"/>
          <w:kern w:val="0"/>
          <w:sz w:val="24"/>
          <w:szCs w:val="24"/>
          <w14:ligatures w14:val="none"/>
        </w:rPr>
        <w:t>Periodic Governance Reviews: Data governance agreements will include scheduled reviews with community representatives to assess relevance, accessibility, consent status, and any evolving concerns. This allows for renegotiation of terms or withdrawal of data if needed.</w:t>
      </w:r>
    </w:p>
    <w:p w14:paraId="13C68BA6" w14:textId="77777777" w:rsidR="000814F4" w:rsidRPr="00716CB9" w:rsidRDefault="000814F4" w:rsidP="000814F4">
      <w:pPr>
        <w:widowControl/>
        <w:spacing w:before="100" w:beforeAutospacing="1" w:after="100" w:afterAutospacing="1" w:line="240" w:lineRule="auto"/>
        <w:jc w:val="left"/>
        <w:rPr>
          <w:rFonts w:ascii="Times New Roman" w:hAnsi="Times New Roman" w:cs="Times New Roman"/>
          <w:kern w:val="0"/>
          <w:sz w:val="24"/>
          <w:szCs w:val="24"/>
          <w14:ligatures w14:val="none"/>
        </w:rPr>
      </w:pPr>
      <w:r w:rsidRPr="00897009">
        <w:rPr>
          <w:rFonts w:ascii="Times New Roman" w:hAnsi="Times New Roman" w:cs="Times New Roman"/>
          <w:kern w:val="0"/>
          <w:sz w:val="24"/>
          <w:szCs w:val="24"/>
          <w14:ligatures w14:val="none"/>
        </w:rPr>
        <w:t>This approach ensures long-term stewardship that protects Indigenous rights, sustains local benefit, and supports ethical knowledge sharing aligned with Inuit self-determination.</w:t>
      </w:r>
    </w:p>
    <w:p w14:paraId="42E8164D" w14:textId="77777777" w:rsidR="000814F4" w:rsidRPr="00716CB9" w:rsidRDefault="000814F4" w:rsidP="000814F4">
      <w:pPr>
        <w:widowControl/>
        <w:spacing w:before="100" w:beforeAutospacing="1" w:after="100" w:afterAutospacing="1" w:line="240" w:lineRule="auto"/>
        <w:jc w:val="left"/>
        <w:outlineLvl w:val="2"/>
        <w:rPr>
          <w:rFonts w:ascii="Times New Roman" w:eastAsia="Times New Roman" w:hAnsi="Times New Roman" w:cs="Times New Roman"/>
          <w:b/>
          <w:bCs/>
          <w:kern w:val="0"/>
          <w:sz w:val="24"/>
          <w:szCs w:val="24"/>
          <w14:ligatures w14:val="none"/>
        </w:rPr>
      </w:pPr>
      <w:r w:rsidRPr="00716CB9">
        <w:rPr>
          <w:rFonts w:ascii="Times New Roman" w:eastAsia="Times New Roman" w:hAnsi="Times New Roman" w:cs="Times New Roman"/>
          <w:b/>
          <w:bCs/>
          <w:kern w:val="0"/>
          <w:sz w:val="24"/>
          <w:szCs w:val="24"/>
          <w14:ligatures w14:val="none"/>
        </w:rPr>
        <w:t>g) Research Outputs</w:t>
      </w:r>
    </w:p>
    <w:p w14:paraId="5CAC6E40" w14:textId="77777777" w:rsidR="000814F4" w:rsidRPr="00716CB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The project will generate a suite of academic, policy-oriented, and community-focused outputs designed to serve both scientific advancement and local benefit:</w:t>
      </w:r>
    </w:p>
    <w:p w14:paraId="5E0E64C4" w14:textId="77777777" w:rsidR="000814F4" w:rsidRPr="00716CB9" w:rsidRDefault="000814F4" w:rsidP="000814F4">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b/>
          <w:bCs/>
          <w:kern w:val="0"/>
          <w:sz w:val="24"/>
          <w:szCs w:val="24"/>
          <w14:ligatures w14:val="none"/>
        </w:rPr>
        <w:t>Major outputs include:</w:t>
      </w:r>
    </w:p>
    <w:p w14:paraId="693C9309" w14:textId="77777777" w:rsidR="000814F4" w:rsidRPr="00716CB9" w:rsidRDefault="000814F4" w:rsidP="000814F4">
      <w:pPr>
        <w:widowControl/>
        <w:numPr>
          <w:ilvl w:val="0"/>
          <w:numId w:val="8"/>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Peer-reviewed journal articles and scientific conference presentations detailing contaminant distributions, mechanistic insights into fate and bioaccumulation, and modeled risk pathways.</w:t>
      </w:r>
    </w:p>
    <w:p w14:paraId="53E1A652" w14:textId="77777777" w:rsidR="000814F4" w:rsidRPr="00716CB9" w:rsidRDefault="000814F4" w:rsidP="000814F4">
      <w:pPr>
        <w:widowControl/>
        <w:numPr>
          <w:ilvl w:val="0"/>
          <w:numId w:val="8"/>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Graduate and postdoctoral theses (master’s and PhD) focused on specific aspects such as microplastics behavior, PFAS dynamics, food-web accumulation, and community-based monitoring.</w:t>
      </w:r>
    </w:p>
    <w:p w14:paraId="12B680C4" w14:textId="77777777" w:rsidR="000814F4" w:rsidRPr="00716CB9" w:rsidRDefault="000814F4" w:rsidP="000814F4">
      <w:pPr>
        <w:widowControl/>
        <w:numPr>
          <w:ilvl w:val="0"/>
          <w:numId w:val="8"/>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Technical reports and policy briefs tailored for territorial and federal decision-makers to inform environmental management and regulation.</w:t>
      </w:r>
    </w:p>
    <w:p w14:paraId="7E76A508" w14:textId="77777777" w:rsidR="000814F4" w:rsidRPr="00716CB9" w:rsidRDefault="000814F4" w:rsidP="000814F4">
      <w:pPr>
        <w:widowControl/>
        <w:numPr>
          <w:ilvl w:val="0"/>
          <w:numId w:val="8"/>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Community-facing materials: plain-language summaries, visual contamination maps, training toolkits, and summary digest reports.</w:t>
      </w:r>
    </w:p>
    <w:p w14:paraId="28A62F33" w14:textId="77777777" w:rsidR="000814F4" w:rsidRPr="00716CB9" w:rsidRDefault="000814F4" w:rsidP="000814F4">
      <w:pPr>
        <w:widowControl/>
        <w:numPr>
          <w:ilvl w:val="0"/>
          <w:numId w:val="8"/>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Capacity documentation, including training curricula, participant certification summaries, and co-developed monitoring protocols.</w:t>
      </w:r>
    </w:p>
    <w:p w14:paraId="0A6D84C8" w14:textId="77777777" w:rsidR="000814F4" w:rsidRPr="00716CB9" w:rsidRDefault="000814F4" w:rsidP="000814F4">
      <w:pPr>
        <w:widowControl/>
        <w:numPr>
          <w:ilvl w:val="0"/>
          <w:numId w:val="8"/>
        </w:numPr>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sidRPr="00716CB9">
        <w:rPr>
          <w:rFonts w:ascii="Times New Roman" w:eastAsia="Times New Roman" w:hAnsi="Times New Roman" w:cs="Times New Roman"/>
          <w:kern w:val="0"/>
          <w:sz w:val="24"/>
          <w:szCs w:val="24"/>
          <w14:ligatures w14:val="none"/>
        </w:rPr>
        <w:t>Joint-authored outputs with community collaborators, acknowledging their contributions in interpretation and dissemination.</w:t>
      </w:r>
    </w:p>
    <w:p w14:paraId="48FAD263" w14:textId="77777777" w:rsidR="009536D2" w:rsidRPr="000814F4" w:rsidRDefault="009536D2" w:rsidP="000814F4"/>
    <w:sectPr w:rsidR="009536D2" w:rsidRPr="000814F4" w:rsidSect="00D10258">
      <w:pgSz w:w="12242" w:h="15842" w:code="119"/>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B05E4" w14:textId="77777777" w:rsidR="0009741A" w:rsidRDefault="0009741A" w:rsidP="000814F4">
      <w:pPr>
        <w:spacing w:after="0" w:line="240" w:lineRule="auto"/>
      </w:pPr>
      <w:r>
        <w:separator/>
      </w:r>
    </w:p>
  </w:endnote>
  <w:endnote w:type="continuationSeparator" w:id="0">
    <w:p w14:paraId="3CC548F7" w14:textId="77777777" w:rsidR="0009741A" w:rsidRDefault="0009741A" w:rsidP="00081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104CD" w14:textId="77777777" w:rsidR="0009741A" w:rsidRDefault="0009741A" w:rsidP="000814F4">
      <w:pPr>
        <w:spacing w:after="0" w:line="240" w:lineRule="auto"/>
      </w:pPr>
      <w:r>
        <w:separator/>
      </w:r>
    </w:p>
  </w:footnote>
  <w:footnote w:type="continuationSeparator" w:id="0">
    <w:p w14:paraId="6BBE0A2F" w14:textId="77777777" w:rsidR="0009741A" w:rsidRDefault="0009741A" w:rsidP="00081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5989"/>
    <w:multiLevelType w:val="multilevel"/>
    <w:tmpl w:val="71E8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8719A"/>
    <w:multiLevelType w:val="multilevel"/>
    <w:tmpl w:val="D554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E5F5C"/>
    <w:multiLevelType w:val="multilevel"/>
    <w:tmpl w:val="A3C0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8C7565"/>
    <w:multiLevelType w:val="multilevel"/>
    <w:tmpl w:val="0940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CB180C"/>
    <w:multiLevelType w:val="multilevel"/>
    <w:tmpl w:val="6430F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EE0F68"/>
    <w:multiLevelType w:val="hybridMultilevel"/>
    <w:tmpl w:val="6EE60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C9817E1"/>
    <w:multiLevelType w:val="multilevel"/>
    <w:tmpl w:val="852EA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901F79"/>
    <w:multiLevelType w:val="hybridMultilevel"/>
    <w:tmpl w:val="56FEB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0FB39CE"/>
    <w:multiLevelType w:val="multilevel"/>
    <w:tmpl w:val="A796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D304B2"/>
    <w:multiLevelType w:val="multilevel"/>
    <w:tmpl w:val="B078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820449">
    <w:abstractNumId w:val="2"/>
  </w:num>
  <w:num w:numId="2" w16cid:durableId="1159734649">
    <w:abstractNumId w:val="4"/>
  </w:num>
  <w:num w:numId="3" w16cid:durableId="1713572479">
    <w:abstractNumId w:val="6"/>
  </w:num>
  <w:num w:numId="4" w16cid:durableId="2028292227">
    <w:abstractNumId w:val="8"/>
  </w:num>
  <w:num w:numId="5" w16cid:durableId="1844541661">
    <w:abstractNumId w:val="3"/>
  </w:num>
  <w:num w:numId="6" w16cid:durableId="1665743858">
    <w:abstractNumId w:val="9"/>
  </w:num>
  <w:num w:numId="7" w16cid:durableId="642613239">
    <w:abstractNumId w:val="0"/>
  </w:num>
  <w:num w:numId="8" w16cid:durableId="813061922">
    <w:abstractNumId w:val="1"/>
  </w:num>
  <w:num w:numId="9" w16cid:durableId="1520193989">
    <w:abstractNumId w:val="5"/>
  </w:num>
  <w:num w:numId="10" w16cid:durableId="278730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DAxNbS0tDCztDQ0NTdU0lEKTi0uzszPAykwrgUAUufUWiwAAAA="/>
  </w:docVars>
  <w:rsids>
    <w:rsidRoot w:val="00351ACA"/>
    <w:rsid w:val="000814F4"/>
    <w:rsid w:val="000936CE"/>
    <w:rsid w:val="0009741A"/>
    <w:rsid w:val="000B5B52"/>
    <w:rsid w:val="00106225"/>
    <w:rsid w:val="001B0FB4"/>
    <w:rsid w:val="001E1432"/>
    <w:rsid w:val="001E567E"/>
    <w:rsid w:val="002E6943"/>
    <w:rsid w:val="002F5583"/>
    <w:rsid w:val="00351ACA"/>
    <w:rsid w:val="003B2036"/>
    <w:rsid w:val="003C32CA"/>
    <w:rsid w:val="004638FF"/>
    <w:rsid w:val="004B13C8"/>
    <w:rsid w:val="004E1F23"/>
    <w:rsid w:val="00534CD1"/>
    <w:rsid w:val="00545D79"/>
    <w:rsid w:val="005A6DA1"/>
    <w:rsid w:val="006542EC"/>
    <w:rsid w:val="00661774"/>
    <w:rsid w:val="006A0D2A"/>
    <w:rsid w:val="008320FE"/>
    <w:rsid w:val="00867AF3"/>
    <w:rsid w:val="008931D3"/>
    <w:rsid w:val="008C2D65"/>
    <w:rsid w:val="009536D2"/>
    <w:rsid w:val="00A32DDE"/>
    <w:rsid w:val="00A7720E"/>
    <w:rsid w:val="00A77B30"/>
    <w:rsid w:val="00BA7C15"/>
    <w:rsid w:val="00C7265A"/>
    <w:rsid w:val="00C8426D"/>
    <w:rsid w:val="00C937DF"/>
    <w:rsid w:val="00D10258"/>
    <w:rsid w:val="00D265DC"/>
    <w:rsid w:val="00D66BF3"/>
    <w:rsid w:val="00D7103E"/>
    <w:rsid w:val="00D95440"/>
    <w:rsid w:val="00ED3E1F"/>
    <w:rsid w:val="00F823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086B33"/>
  <w15:chartTrackingRefBased/>
  <w15:docId w15:val="{BE95ADC3-C8AF-4DF6-9CF7-50554047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CA"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4F4"/>
    <w:pPr>
      <w:widowControl w:val="0"/>
      <w:jc w:val="both"/>
    </w:pPr>
  </w:style>
  <w:style w:type="paragraph" w:styleId="Heading1">
    <w:name w:val="heading 1"/>
    <w:basedOn w:val="Normal"/>
    <w:next w:val="Normal"/>
    <w:link w:val="Heading1Char"/>
    <w:uiPriority w:val="9"/>
    <w:qFormat/>
    <w:rsid w:val="00351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1A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A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A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8C2D65"/>
    <w:pPr>
      <w:ind w:firstLineChars="200" w:firstLine="420"/>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51A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A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1A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A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A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ACA"/>
    <w:rPr>
      <w:rFonts w:eastAsiaTheme="majorEastAsia" w:cstheme="majorBidi"/>
      <w:color w:val="272727" w:themeColor="text1" w:themeTint="D8"/>
    </w:rPr>
  </w:style>
  <w:style w:type="paragraph" w:styleId="Title">
    <w:name w:val="Title"/>
    <w:basedOn w:val="Normal"/>
    <w:next w:val="Normal"/>
    <w:link w:val="TitleChar"/>
    <w:uiPriority w:val="10"/>
    <w:qFormat/>
    <w:rsid w:val="00351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ACA"/>
    <w:pPr>
      <w:spacing w:before="160"/>
      <w:jc w:val="center"/>
    </w:pPr>
    <w:rPr>
      <w:i/>
      <w:iCs/>
      <w:color w:val="404040" w:themeColor="text1" w:themeTint="BF"/>
    </w:rPr>
  </w:style>
  <w:style w:type="character" w:customStyle="1" w:styleId="QuoteChar">
    <w:name w:val="Quote Char"/>
    <w:basedOn w:val="DefaultParagraphFont"/>
    <w:link w:val="Quote"/>
    <w:uiPriority w:val="29"/>
    <w:rsid w:val="00351ACA"/>
    <w:rPr>
      <w:i/>
      <w:iCs/>
      <w:color w:val="404040" w:themeColor="text1" w:themeTint="BF"/>
    </w:rPr>
  </w:style>
  <w:style w:type="character" w:styleId="IntenseEmphasis">
    <w:name w:val="Intense Emphasis"/>
    <w:basedOn w:val="DefaultParagraphFont"/>
    <w:uiPriority w:val="21"/>
    <w:qFormat/>
    <w:rsid w:val="00351ACA"/>
    <w:rPr>
      <w:i/>
      <w:iCs/>
      <w:color w:val="0F4761" w:themeColor="accent1" w:themeShade="BF"/>
    </w:rPr>
  </w:style>
  <w:style w:type="paragraph" w:styleId="IntenseQuote">
    <w:name w:val="Intense Quote"/>
    <w:basedOn w:val="Normal"/>
    <w:next w:val="Normal"/>
    <w:link w:val="IntenseQuoteChar"/>
    <w:uiPriority w:val="30"/>
    <w:qFormat/>
    <w:rsid w:val="00351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ACA"/>
    <w:rPr>
      <w:i/>
      <w:iCs/>
      <w:color w:val="0F4761" w:themeColor="accent1" w:themeShade="BF"/>
    </w:rPr>
  </w:style>
  <w:style w:type="character" w:styleId="IntenseReference">
    <w:name w:val="Intense Reference"/>
    <w:basedOn w:val="DefaultParagraphFont"/>
    <w:uiPriority w:val="32"/>
    <w:qFormat/>
    <w:rsid w:val="00351ACA"/>
    <w:rPr>
      <w:b/>
      <w:bCs/>
      <w:smallCaps/>
      <w:color w:val="0F4761" w:themeColor="accent1" w:themeShade="BF"/>
      <w:spacing w:val="5"/>
    </w:rPr>
  </w:style>
  <w:style w:type="paragraph" w:styleId="NormalWeb">
    <w:name w:val="Normal (Web)"/>
    <w:basedOn w:val="Normal"/>
    <w:uiPriority w:val="99"/>
    <w:unhideWhenUsed/>
    <w:rsid w:val="00A77B30"/>
    <w:pPr>
      <w:widowControl/>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77B30"/>
    <w:rPr>
      <w:b/>
      <w:bCs/>
    </w:rPr>
  </w:style>
  <w:style w:type="character" w:customStyle="1" w:styleId="ms-1">
    <w:name w:val="ms-1"/>
    <w:basedOn w:val="DefaultParagraphFont"/>
    <w:rsid w:val="00D7103E"/>
  </w:style>
  <w:style w:type="character" w:customStyle="1" w:styleId="max-w-full">
    <w:name w:val="max-w-full"/>
    <w:basedOn w:val="DefaultParagraphFont"/>
    <w:rsid w:val="00D7103E"/>
  </w:style>
  <w:style w:type="paragraph" w:styleId="Header">
    <w:name w:val="header"/>
    <w:basedOn w:val="Normal"/>
    <w:link w:val="HeaderChar"/>
    <w:uiPriority w:val="99"/>
    <w:unhideWhenUsed/>
    <w:rsid w:val="000814F4"/>
    <w:pPr>
      <w:tabs>
        <w:tab w:val="center" w:pos="4320"/>
        <w:tab w:val="right" w:pos="8640"/>
      </w:tabs>
      <w:spacing w:after="0" w:line="240" w:lineRule="auto"/>
    </w:pPr>
  </w:style>
  <w:style w:type="character" w:customStyle="1" w:styleId="HeaderChar">
    <w:name w:val="Header Char"/>
    <w:basedOn w:val="DefaultParagraphFont"/>
    <w:link w:val="Header"/>
    <w:uiPriority w:val="99"/>
    <w:rsid w:val="000814F4"/>
  </w:style>
  <w:style w:type="paragraph" w:styleId="Footer">
    <w:name w:val="footer"/>
    <w:basedOn w:val="Normal"/>
    <w:link w:val="FooterChar"/>
    <w:uiPriority w:val="99"/>
    <w:unhideWhenUsed/>
    <w:rsid w:val="000814F4"/>
    <w:pPr>
      <w:tabs>
        <w:tab w:val="center" w:pos="4320"/>
        <w:tab w:val="right" w:pos="8640"/>
      </w:tabs>
      <w:spacing w:after="0" w:line="240" w:lineRule="auto"/>
    </w:pPr>
  </w:style>
  <w:style w:type="character" w:customStyle="1" w:styleId="FooterChar">
    <w:name w:val="Footer Char"/>
    <w:basedOn w:val="DefaultParagraphFont"/>
    <w:link w:val="Footer"/>
    <w:uiPriority w:val="99"/>
    <w:rsid w:val="00081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0560">
      <w:bodyDiv w:val="1"/>
      <w:marLeft w:val="0"/>
      <w:marRight w:val="0"/>
      <w:marTop w:val="0"/>
      <w:marBottom w:val="0"/>
      <w:divBdr>
        <w:top w:val="none" w:sz="0" w:space="0" w:color="auto"/>
        <w:left w:val="none" w:sz="0" w:space="0" w:color="auto"/>
        <w:bottom w:val="none" w:sz="0" w:space="0" w:color="auto"/>
        <w:right w:val="none" w:sz="0" w:space="0" w:color="auto"/>
      </w:divBdr>
    </w:div>
    <w:div w:id="192231587">
      <w:bodyDiv w:val="1"/>
      <w:marLeft w:val="0"/>
      <w:marRight w:val="0"/>
      <w:marTop w:val="0"/>
      <w:marBottom w:val="0"/>
      <w:divBdr>
        <w:top w:val="none" w:sz="0" w:space="0" w:color="auto"/>
        <w:left w:val="none" w:sz="0" w:space="0" w:color="auto"/>
        <w:bottom w:val="none" w:sz="0" w:space="0" w:color="auto"/>
        <w:right w:val="none" w:sz="0" w:space="0" w:color="auto"/>
      </w:divBdr>
    </w:div>
    <w:div w:id="633874800">
      <w:bodyDiv w:val="1"/>
      <w:marLeft w:val="0"/>
      <w:marRight w:val="0"/>
      <w:marTop w:val="0"/>
      <w:marBottom w:val="0"/>
      <w:divBdr>
        <w:top w:val="none" w:sz="0" w:space="0" w:color="auto"/>
        <w:left w:val="none" w:sz="0" w:space="0" w:color="auto"/>
        <w:bottom w:val="none" w:sz="0" w:space="0" w:color="auto"/>
        <w:right w:val="none" w:sz="0" w:space="0" w:color="auto"/>
      </w:divBdr>
      <w:divsChild>
        <w:div w:id="1068840101">
          <w:marLeft w:val="0"/>
          <w:marRight w:val="0"/>
          <w:marTop w:val="0"/>
          <w:marBottom w:val="0"/>
          <w:divBdr>
            <w:top w:val="none" w:sz="0" w:space="0" w:color="auto"/>
            <w:left w:val="none" w:sz="0" w:space="0" w:color="auto"/>
            <w:bottom w:val="none" w:sz="0" w:space="0" w:color="auto"/>
            <w:right w:val="none" w:sz="0" w:space="0" w:color="auto"/>
          </w:divBdr>
        </w:div>
      </w:divsChild>
    </w:div>
    <w:div w:id="785077255">
      <w:bodyDiv w:val="1"/>
      <w:marLeft w:val="0"/>
      <w:marRight w:val="0"/>
      <w:marTop w:val="0"/>
      <w:marBottom w:val="0"/>
      <w:divBdr>
        <w:top w:val="none" w:sz="0" w:space="0" w:color="auto"/>
        <w:left w:val="none" w:sz="0" w:space="0" w:color="auto"/>
        <w:bottom w:val="none" w:sz="0" w:space="0" w:color="auto"/>
        <w:right w:val="none" w:sz="0" w:space="0" w:color="auto"/>
      </w:divBdr>
    </w:div>
    <w:div w:id="889269194">
      <w:bodyDiv w:val="1"/>
      <w:marLeft w:val="0"/>
      <w:marRight w:val="0"/>
      <w:marTop w:val="0"/>
      <w:marBottom w:val="0"/>
      <w:divBdr>
        <w:top w:val="none" w:sz="0" w:space="0" w:color="auto"/>
        <w:left w:val="none" w:sz="0" w:space="0" w:color="auto"/>
        <w:bottom w:val="none" w:sz="0" w:space="0" w:color="auto"/>
        <w:right w:val="none" w:sz="0" w:space="0" w:color="auto"/>
      </w:divBdr>
    </w:div>
    <w:div w:id="1163156097">
      <w:bodyDiv w:val="1"/>
      <w:marLeft w:val="0"/>
      <w:marRight w:val="0"/>
      <w:marTop w:val="0"/>
      <w:marBottom w:val="0"/>
      <w:divBdr>
        <w:top w:val="none" w:sz="0" w:space="0" w:color="auto"/>
        <w:left w:val="none" w:sz="0" w:space="0" w:color="auto"/>
        <w:bottom w:val="none" w:sz="0" w:space="0" w:color="auto"/>
        <w:right w:val="none" w:sz="0" w:space="0" w:color="auto"/>
      </w:divBdr>
      <w:divsChild>
        <w:div w:id="58478739">
          <w:marLeft w:val="0"/>
          <w:marRight w:val="0"/>
          <w:marTop w:val="0"/>
          <w:marBottom w:val="0"/>
          <w:divBdr>
            <w:top w:val="none" w:sz="0" w:space="0" w:color="auto"/>
            <w:left w:val="none" w:sz="0" w:space="0" w:color="auto"/>
            <w:bottom w:val="none" w:sz="0" w:space="0" w:color="auto"/>
            <w:right w:val="none" w:sz="0" w:space="0" w:color="auto"/>
          </w:divBdr>
        </w:div>
      </w:divsChild>
    </w:div>
    <w:div w:id="1621885775">
      <w:bodyDiv w:val="1"/>
      <w:marLeft w:val="0"/>
      <w:marRight w:val="0"/>
      <w:marTop w:val="0"/>
      <w:marBottom w:val="0"/>
      <w:divBdr>
        <w:top w:val="none" w:sz="0" w:space="0" w:color="auto"/>
        <w:left w:val="none" w:sz="0" w:space="0" w:color="auto"/>
        <w:bottom w:val="none" w:sz="0" w:space="0" w:color="auto"/>
        <w:right w:val="none" w:sz="0" w:space="0" w:color="auto"/>
      </w:divBdr>
    </w:div>
    <w:div w:id="1666862909">
      <w:bodyDiv w:val="1"/>
      <w:marLeft w:val="0"/>
      <w:marRight w:val="0"/>
      <w:marTop w:val="0"/>
      <w:marBottom w:val="0"/>
      <w:divBdr>
        <w:top w:val="none" w:sz="0" w:space="0" w:color="auto"/>
        <w:left w:val="none" w:sz="0" w:space="0" w:color="auto"/>
        <w:bottom w:val="none" w:sz="0" w:space="0" w:color="auto"/>
        <w:right w:val="none" w:sz="0" w:space="0" w:color="auto"/>
      </w:divBdr>
    </w:div>
    <w:div w:id="1979336627">
      <w:bodyDiv w:val="1"/>
      <w:marLeft w:val="0"/>
      <w:marRight w:val="0"/>
      <w:marTop w:val="0"/>
      <w:marBottom w:val="0"/>
      <w:divBdr>
        <w:top w:val="none" w:sz="0" w:space="0" w:color="auto"/>
        <w:left w:val="none" w:sz="0" w:space="0" w:color="auto"/>
        <w:bottom w:val="none" w:sz="0" w:space="0" w:color="auto"/>
        <w:right w:val="none" w:sz="0" w:space="0" w:color="auto"/>
      </w:divBdr>
    </w:div>
    <w:div w:id="208891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4213</Words>
  <Characters>24020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Xing Song</dc:creator>
  <cp:keywords/>
  <dc:description/>
  <cp:lastModifiedBy>Xing Song</cp:lastModifiedBy>
  <cp:revision>2</cp:revision>
  <dcterms:created xsi:type="dcterms:W3CDTF">2025-08-27T18:57:00Z</dcterms:created>
  <dcterms:modified xsi:type="dcterms:W3CDTF">2025-08-27T18:57:00Z</dcterms:modified>
</cp:coreProperties>
</file>