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5703E" w14:textId="77777777"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 xml:space="preserve">Suivi temporel des forêts de laminaires arctiques et de la biodiversité associée dans la région de </w:t>
      </w:r>
      <w:proofErr w:type="spellStart"/>
      <w:r w:rsidRPr="007E72F7">
        <w:rPr>
          <w:rFonts w:eastAsia="Times New Roman" w:cstheme="minorHAnsi"/>
          <w:b/>
          <w:bCs/>
          <w:kern w:val="0"/>
          <w:lang w:eastAsia="fr-CA"/>
          <w14:ligatures w14:val="none"/>
        </w:rPr>
        <w:t>Qikiqtarjuaq</w:t>
      </w:r>
      <w:proofErr w:type="spellEnd"/>
    </w:p>
    <w:p w14:paraId="19EF9B58" w14:textId="77777777"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Chercheur principal :</w:t>
      </w:r>
      <w:r w:rsidRPr="007E72F7">
        <w:rPr>
          <w:rFonts w:eastAsia="Times New Roman" w:cstheme="minorHAnsi"/>
          <w:kern w:val="0"/>
          <w:lang w:eastAsia="fr-CA"/>
          <w14:ligatures w14:val="none"/>
        </w:rPr>
        <w:t xml:space="preserve"> Camille Lavoie, Université Laval</w:t>
      </w:r>
    </w:p>
    <w:p w14:paraId="182747E1" w14:textId="1C81AED5"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 xml:space="preserve">Les écosystèmes marins côtiers comprennent de nombreux habitats importants, notamment ceux dominés par de grandes algues brunes appelées laminaires, ou </w:t>
      </w:r>
      <w:proofErr w:type="spellStart"/>
      <w:r w:rsidRPr="007E72F7">
        <w:rPr>
          <w:rFonts w:eastAsia="Times New Roman" w:cstheme="minorHAnsi"/>
          <w:i/>
          <w:iCs/>
          <w:kern w:val="0"/>
          <w:lang w:eastAsia="fr-CA"/>
          <w14:ligatures w14:val="none"/>
        </w:rPr>
        <w:t>kuanniq</w:t>
      </w:r>
      <w:proofErr w:type="spellEnd"/>
      <w:r w:rsidRPr="007E72F7">
        <w:rPr>
          <w:rFonts w:eastAsia="Times New Roman" w:cstheme="minorHAnsi"/>
          <w:kern w:val="0"/>
          <w:lang w:eastAsia="fr-CA"/>
          <w14:ligatures w14:val="none"/>
        </w:rPr>
        <w:t>. Lorsque la lumière et les nutriments sont suffisants, ces algues peuvent former de vastes forêts sur le</w:t>
      </w:r>
      <w:r>
        <w:rPr>
          <w:rFonts w:eastAsia="Times New Roman" w:cstheme="minorHAnsi"/>
          <w:kern w:val="0"/>
          <w:lang w:eastAsia="fr-CA"/>
          <w14:ligatures w14:val="none"/>
        </w:rPr>
        <w:t>s</w:t>
      </w:r>
      <w:r w:rsidRPr="007E72F7">
        <w:rPr>
          <w:rFonts w:eastAsia="Times New Roman" w:cstheme="minorHAnsi"/>
          <w:kern w:val="0"/>
          <w:lang w:eastAsia="fr-CA"/>
          <w14:ligatures w14:val="none"/>
        </w:rPr>
        <w:t xml:space="preserve"> fond</w:t>
      </w:r>
      <w:r>
        <w:rPr>
          <w:rFonts w:eastAsia="Times New Roman" w:cstheme="minorHAnsi"/>
          <w:kern w:val="0"/>
          <w:lang w:eastAsia="fr-CA"/>
          <w14:ligatures w14:val="none"/>
        </w:rPr>
        <w:t>s</w:t>
      </w:r>
      <w:r w:rsidRPr="007E72F7">
        <w:rPr>
          <w:rFonts w:eastAsia="Times New Roman" w:cstheme="minorHAnsi"/>
          <w:kern w:val="0"/>
          <w:lang w:eastAsia="fr-CA"/>
          <w14:ligatures w14:val="none"/>
        </w:rPr>
        <w:t xml:space="preserve"> marin</w:t>
      </w:r>
      <w:r>
        <w:rPr>
          <w:rFonts w:eastAsia="Times New Roman" w:cstheme="minorHAnsi"/>
          <w:kern w:val="0"/>
          <w:lang w:eastAsia="fr-CA"/>
          <w14:ligatures w14:val="none"/>
        </w:rPr>
        <w:t>s</w:t>
      </w:r>
      <w:r w:rsidRPr="007E72F7">
        <w:rPr>
          <w:rFonts w:eastAsia="Times New Roman" w:cstheme="minorHAnsi"/>
          <w:kern w:val="0"/>
          <w:lang w:eastAsia="fr-CA"/>
          <w14:ligatures w14:val="none"/>
        </w:rPr>
        <w:t>. C</w:t>
      </w:r>
      <w:r w:rsidR="00B9102E">
        <w:rPr>
          <w:rFonts w:eastAsia="Times New Roman" w:cstheme="minorHAnsi"/>
          <w:kern w:val="0"/>
          <w:lang w:eastAsia="fr-CA"/>
          <w14:ligatures w14:val="none"/>
        </w:rPr>
        <w:t>elles-ci</w:t>
      </w:r>
      <w:r w:rsidRPr="007E72F7">
        <w:rPr>
          <w:rFonts w:eastAsia="Times New Roman" w:cstheme="minorHAnsi"/>
          <w:kern w:val="0"/>
          <w:lang w:eastAsia="fr-CA"/>
          <w14:ligatures w14:val="none"/>
        </w:rPr>
        <w:t xml:space="preserve"> constituent des éléments essentiels des écosystèmes marins en santé, puisqu’elles fournissent nourriture et habitat à de nombreux organismes et jouent un rôle important dans la régulation des océans et du climat.</w:t>
      </w:r>
    </w:p>
    <w:p w14:paraId="35FD431A" w14:textId="3F442E17"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Bien que les forêts de laminaires aient été largement étudiées dans plusieurs régions</w:t>
      </w:r>
      <w:r>
        <w:rPr>
          <w:rFonts w:eastAsia="Times New Roman" w:cstheme="minorHAnsi"/>
          <w:kern w:val="0"/>
          <w:lang w:eastAsia="fr-CA"/>
          <w14:ligatures w14:val="none"/>
        </w:rPr>
        <w:t xml:space="preserve"> tempérées</w:t>
      </w:r>
      <w:r w:rsidRPr="007E72F7">
        <w:rPr>
          <w:rFonts w:eastAsia="Times New Roman" w:cstheme="minorHAnsi"/>
          <w:kern w:val="0"/>
          <w:lang w:eastAsia="fr-CA"/>
          <w14:ligatures w14:val="none"/>
        </w:rPr>
        <w:t xml:space="preserve"> du monde, les connaissances scientifiques sur les écosystèmes de laminaires arctiques demeurent très limitées et reposent principalement sur des observations ponctuelles. Des informations écologiques essentielles </w:t>
      </w:r>
      <w:r w:rsidR="00B9102E">
        <w:rPr>
          <w:rFonts w:eastAsia="Times New Roman" w:cstheme="minorHAnsi"/>
          <w:kern w:val="0"/>
          <w:lang w:eastAsia="fr-CA"/>
          <w14:ligatures w14:val="none"/>
        </w:rPr>
        <w:t>-</w:t>
      </w:r>
      <w:r w:rsidRPr="007E72F7">
        <w:rPr>
          <w:rFonts w:eastAsia="Times New Roman" w:cstheme="minorHAnsi"/>
          <w:kern w:val="0"/>
          <w:lang w:eastAsia="fr-CA"/>
          <w14:ligatures w14:val="none"/>
        </w:rPr>
        <w:t xml:space="preserve"> notamment les variations de biomasse, les taux de croissance, la composition des espèces et la plupart des fonctions écosystémiques </w:t>
      </w:r>
      <w:r w:rsidR="00B9102E">
        <w:rPr>
          <w:rFonts w:eastAsia="Times New Roman" w:cstheme="minorHAnsi"/>
          <w:kern w:val="0"/>
          <w:lang w:eastAsia="fr-CA"/>
          <w14:ligatures w14:val="none"/>
        </w:rPr>
        <w:t>-</w:t>
      </w:r>
      <w:r w:rsidRPr="007E72F7">
        <w:rPr>
          <w:rFonts w:eastAsia="Times New Roman" w:cstheme="minorHAnsi"/>
          <w:kern w:val="0"/>
          <w:lang w:eastAsia="fr-CA"/>
          <w14:ligatures w14:val="none"/>
        </w:rPr>
        <w:t xml:space="preserve"> nécessitent des suivis temporels afin de mieux comprendre les réponses de ces écosystèmes aux perturbations environnementales ainsi que leur capacité de récupération.</w:t>
      </w:r>
    </w:p>
    <w:p w14:paraId="50041768" w14:textId="50AAEEB5"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 xml:space="preserve">Nous souhaitons combler ces lacunes en étudiant l’écologie des forêts de laminaires du Haut-Arctique autour de </w:t>
      </w:r>
      <w:proofErr w:type="spellStart"/>
      <w:r w:rsidRPr="007E72F7">
        <w:rPr>
          <w:rFonts w:eastAsia="Times New Roman" w:cstheme="minorHAnsi"/>
          <w:kern w:val="0"/>
          <w:lang w:eastAsia="fr-CA"/>
          <w14:ligatures w14:val="none"/>
        </w:rPr>
        <w:t>Qikiqtarjuaq</w:t>
      </w:r>
      <w:proofErr w:type="spellEnd"/>
      <w:r w:rsidRPr="007E72F7">
        <w:rPr>
          <w:rFonts w:eastAsia="Times New Roman" w:cstheme="minorHAnsi"/>
          <w:kern w:val="0"/>
          <w:lang w:eastAsia="fr-CA"/>
          <w14:ligatures w14:val="none"/>
        </w:rPr>
        <w:t xml:space="preserve"> à travers un programme de suivi à long terme. Plus précisément, nos objectifs sont de : (1) quantifier la distribution actuelle et la composition des forêts de laminaires dans la région ; (2) mesurer leur croissance saisonnière et annuelle ainsi que leurs services de régulation, incluant la production d’oxygène, le cycle des nutriments et le stockage du carbone ; (3) évaluer la diversité des plantes et des animaux qui leur sont associés ; (4) examiner la récupération et la résilience des habitats de laminaires à la suite de perturbations ; et (5) déterminer la contribution des laminaires aux réseaux trophiques côtiers. L’ensemble de ces objectifs sera réalisé grâce à un programme de suivi à long terme impliquant activement la communauté et intégrant les connaissances et la participation </w:t>
      </w:r>
      <w:r>
        <w:rPr>
          <w:rFonts w:eastAsia="Times New Roman" w:cstheme="minorHAnsi"/>
          <w:kern w:val="0"/>
          <w:lang w:eastAsia="fr-CA"/>
          <w14:ligatures w14:val="none"/>
        </w:rPr>
        <w:t>I</w:t>
      </w:r>
      <w:r w:rsidRPr="007E72F7">
        <w:rPr>
          <w:rFonts w:eastAsia="Times New Roman" w:cstheme="minorHAnsi"/>
          <w:kern w:val="0"/>
          <w:lang w:eastAsia="fr-CA"/>
          <w14:ligatures w14:val="none"/>
        </w:rPr>
        <w:t>nuit. Ensemble, ces travaux permettront de détecter les changements liés au réchauffement climatique et d’effectuer des comparaisons significatives avec les écosystèmes de laminaires ailleurs au Canada et dans le monde.</w:t>
      </w:r>
    </w:p>
    <w:p w14:paraId="4802DE40" w14:textId="138A281F"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 xml:space="preserve">Nous prévoyons amorcer les travaux de terrain en août 2026 et les poursuivre jusqu’en 2030 afin d’établir les bases d’un programme de recherche à long terme sur les laminaires. Les activités de terrain seront soutenues par la station de recherche opérée </w:t>
      </w:r>
      <w:r>
        <w:rPr>
          <w:rFonts w:eastAsia="Times New Roman" w:cstheme="minorHAnsi"/>
          <w:kern w:val="0"/>
          <w:lang w:eastAsia="fr-CA"/>
          <w14:ligatures w14:val="none"/>
        </w:rPr>
        <w:t xml:space="preserve">en partenariat par </w:t>
      </w:r>
      <w:r w:rsidRPr="007E72F7">
        <w:rPr>
          <w:rFonts w:eastAsia="Times New Roman" w:cstheme="minorHAnsi"/>
          <w:kern w:val="0"/>
          <w:lang w:eastAsia="fr-CA"/>
          <w14:ligatures w14:val="none"/>
        </w:rPr>
        <w:t xml:space="preserve">l’Université Laval ainsi que par une équipe composée de 4 à 6 scientifiques visiteurs et, idéalement, de 4 à 6 membres de la communauté. Les activités auront lieu à chaque saison (pour des périodes variant de 10 jours à un mois) et </w:t>
      </w:r>
      <w:r w:rsidRPr="007E72F7">
        <w:rPr>
          <w:rFonts w:eastAsia="Times New Roman" w:cstheme="minorHAnsi"/>
          <w:kern w:val="0"/>
          <w:lang w:eastAsia="fr-CA"/>
          <w14:ligatures w14:val="none"/>
        </w:rPr>
        <w:lastRenderedPageBreak/>
        <w:t>comprendront des travaux de plongée sous-marine ainsi que de l’échantillonnage à distance à partir d’embarcations. Les activités incluront :</w:t>
      </w:r>
    </w:p>
    <w:p w14:paraId="3115258D" w14:textId="77777777" w:rsidR="007E72F7" w:rsidRPr="007E72F7" w:rsidRDefault="007E72F7" w:rsidP="007E72F7">
      <w:pPr>
        <w:numPr>
          <w:ilvl w:val="0"/>
          <w:numId w:val="1"/>
        </w:num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Inventaires initiaux des forêts de laminaires et estimations de biomasse</w:t>
      </w:r>
      <w:r w:rsidRPr="007E72F7">
        <w:rPr>
          <w:rFonts w:eastAsia="Times New Roman" w:cstheme="minorHAnsi"/>
          <w:kern w:val="0"/>
          <w:lang w:eastAsia="fr-CA"/>
          <w14:ligatures w14:val="none"/>
        </w:rPr>
        <w:t xml:space="preserve"> sur environ 30 sites à l’aide de 6 quadrats de 0,25 m² pour les récoltes d’algues. Des tissus d’algues seront également échantillonnés afin de préparer des références génétiques (DNA vouchers). </w:t>
      </w:r>
    </w:p>
    <w:p w14:paraId="134E6612" w14:textId="0ED655E0" w:rsidR="007E72F7" w:rsidRPr="007E72F7" w:rsidRDefault="007E72F7" w:rsidP="007E72F7">
      <w:pPr>
        <w:numPr>
          <w:ilvl w:val="0"/>
          <w:numId w:val="1"/>
        </w:num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Mesures de la production primaire des laminaires et de leurs services de régulation</w:t>
      </w:r>
      <w:r w:rsidRPr="007E72F7">
        <w:rPr>
          <w:rFonts w:eastAsia="Times New Roman" w:cstheme="minorHAnsi"/>
          <w:kern w:val="0"/>
          <w:lang w:eastAsia="fr-CA"/>
          <w14:ligatures w14:val="none"/>
        </w:rPr>
        <w:t xml:space="preserve"> grâce au suivi de 3 à 6 sites permanents. À chaque site, les laminaires seront marquées et perforées le long de deux transects afin de suivre leur croissance, et certaines seront déployées sur des lignes benthiques de croissance (5 m de longueur) munies de bouées de </w:t>
      </w:r>
      <w:r>
        <w:rPr>
          <w:rFonts w:eastAsia="Times New Roman" w:cstheme="minorHAnsi"/>
          <w:kern w:val="0"/>
          <w:lang w:eastAsia="fr-CA"/>
          <w14:ligatures w14:val="none"/>
        </w:rPr>
        <w:t>sous-</w:t>
      </w:r>
      <w:r w:rsidRPr="007E72F7">
        <w:rPr>
          <w:rFonts w:eastAsia="Times New Roman" w:cstheme="minorHAnsi"/>
          <w:kern w:val="0"/>
          <w:lang w:eastAsia="fr-CA"/>
          <w14:ligatures w14:val="none"/>
        </w:rPr>
        <w:t xml:space="preserve">surface permettant de suivre la production saisonnière d’oxygène et le contenu des tissus (nutriments et carbone). Les lignes seront également équipées de capteurs mesurant la température de l’eau, la salinité, l’oxygène dissous, le pH et la lumière. </w:t>
      </w:r>
    </w:p>
    <w:p w14:paraId="41AE7DD5" w14:textId="77777777" w:rsidR="007E72F7" w:rsidRPr="007E72F7" w:rsidRDefault="007E72F7" w:rsidP="007E72F7">
      <w:pPr>
        <w:numPr>
          <w:ilvl w:val="0"/>
          <w:numId w:val="1"/>
        </w:num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Études de la diversité et de la résilience des habitats de laminaires</w:t>
      </w:r>
      <w:r w:rsidRPr="007E72F7">
        <w:rPr>
          <w:rFonts w:eastAsia="Times New Roman" w:cstheme="minorHAnsi"/>
          <w:kern w:val="0"/>
          <w:lang w:eastAsia="fr-CA"/>
          <w14:ligatures w14:val="none"/>
        </w:rPr>
        <w:t xml:space="preserve"> à l’aide d’expériences de défrichage. À proximité des sites suivis, des parcelles de dimensions variables (maximum 6 m²) seront inventoriées (tous les organismes comptés et identifiés), puis débarrassées de toutes les algues et invertébrés présents. Ces parcelles seront ensuite suivies dans le temps afin de quantifier la récupération de la biomasse algale et de la biodiversité associée. Des carottes de sédiments seront également prélevées afin d’évaluer la diversité des organismes et le contenu en carbone. </w:t>
      </w:r>
    </w:p>
    <w:p w14:paraId="5E1E1E2F" w14:textId="44B728BE" w:rsidR="007E72F7" w:rsidRPr="007E72F7" w:rsidRDefault="007E72F7" w:rsidP="007E72F7">
      <w:pPr>
        <w:numPr>
          <w:ilvl w:val="0"/>
          <w:numId w:val="1"/>
        </w:numPr>
        <w:spacing w:before="100" w:beforeAutospacing="1" w:after="100" w:afterAutospacing="1"/>
        <w:rPr>
          <w:rFonts w:eastAsia="Times New Roman" w:cstheme="minorHAnsi"/>
          <w:kern w:val="0"/>
          <w:lang w:eastAsia="fr-CA"/>
          <w14:ligatures w14:val="none"/>
        </w:rPr>
      </w:pPr>
      <w:r w:rsidRPr="007E72F7">
        <w:rPr>
          <w:rFonts w:eastAsia="Times New Roman" w:cstheme="minorHAnsi"/>
          <w:b/>
          <w:bCs/>
          <w:kern w:val="0"/>
          <w:lang w:eastAsia="fr-CA"/>
          <w14:ligatures w14:val="none"/>
        </w:rPr>
        <w:t>Traçage des laminaires dans les réseaux trophiques côtiers</w:t>
      </w:r>
      <w:r w:rsidRPr="007E72F7">
        <w:rPr>
          <w:rFonts w:eastAsia="Times New Roman" w:cstheme="minorHAnsi"/>
          <w:kern w:val="0"/>
          <w:lang w:eastAsia="fr-CA"/>
          <w14:ligatures w14:val="none"/>
        </w:rPr>
        <w:t xml:space="preserve"> à l’aide d’isotopes stables et de biomarqueurs lipidiques. Cela nécessitera la collecte de différentes espèces d’invertébrés </w:t>
      </w:r>
      <w:r>
        <w:rPr>
          <w:rFonts w:eastAsia="Times New Roman" w:cstheme="minorHAnsi"/>
          <w:kern w:val="0"/>
          <w:lang w:eastAsia="fr-CA"/>
          <w14:ligatures w14:val="none"/>
        </w:rPr>
        <w:t>communes</w:t>
      </w:r>
      <w:r w:rsidRPr="007E72F7">
        <w:rPr>
          <w:rFonts w:eastAsia="Times New Roman" w:cstheme="minorHAnsi"/>
          <w:kern w:val="0"/>
          <w:lang w:eastAsia="fr-CA"/>
          <w14:ligatures w14:val="none"/>
        </w:rPr>
        <w:t xml:space="preserve"> (15 individus par espèce) par des plongeurs ou à l’aide de cages appâtées. </w:t>
      </w:r>
    </w:p>
    <w:p w14:paraId="4478C7B1" w14:textId="3EDAFB48" w:rsidR="007E72F7"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 xml:space="preserve">Un élément central du succès du projet reposera sur les connaissances </w:t>
      </w:r>
      <w:r w:rsidR="00B9102E">
        <w:rPr>
          <w:rFonts w:eastAsia="Times New Roman" w:cstheme="minorHAnsi"/>
          <w:kern w:val="0"/>
          <w:lang w:eastAsia="fr-CA"/>
          <w14:ligatures w14:val="none"/>
        </w:rPr>
        <w:t>i</w:t>
      </w:r>
      <w:r w:rsidRPr="007E72F7">
        <w:rPr>
          <w:rFonts w:eastAsia="Times New Roman" w:cstheme="minorHAnsi"/>
          <w:kern w:val="0"/>
          <w:lang w:eastAsia="fr-CA"/>
          <w14:ligatures w14:val="none"/>
        </w:rPr>
        <w:t>nuit</w:t>
      </w:r>
      <w:r w:rsidR="00B9102E">
        <w:rPr>
          <w:rFonts w:eastAsia="Times New Roman" w:cstheme="minorHAnsi"/>
          <w:kern w:val="0"/>
          <w:lang w:eastAsia="fr-CA"/>
          <w14:ligatures w14:val="none"/>
        </w:rPr>
        <w:t>es</w:t>
      </w:r>
      <w:r w:rsidRPr="007E72F7">
        <w:rPr>
          <w:rFonts w:eastAsia="Times New Roman" w:cstheme="minorHAnsi"/>
          <w:kern w:val="0"/>
          <w:lang w:eastAsia="fr-CA"/>
          <w14:ligatures w14:val="none"/>
        </w:rPr>
        <w:t xml:space="preserve"> et l’implication des membres de la communauté de </w:t>
      </w:r>
      <w:proofErr w:type="spellStart"/>
      <w:r w:rsidRPr="007E72F7">
        <w:rPr>
          <w:rFonts w:eastAsia="Times New Roman" w:cstheme="minorHAnsi"/>
          <w:kern w:val="0"/>
          <w:lang w:eastAsia="fr-CA"/>
          <w14:ligatures w14:val="none"/>
        </w:rPr>
        <w:t>Qikiqtarjuaq</w:t>
      </w:r>
      <w:proofErr w:type="spellEnd"/>
      <w:r w:rsidRPr="007E72F7">
        <w:rPr>
          <w:rFonts w:eastAsia="Times New Roman" w:cstheme="minorHAnsi"/>
          <w:kern w:val="0"/>
          <w:lang w:eastAsia="fr-CA"/>
          <w14:ligatures w14:val="none"/>
        </w:rPr>
        <w:t>, qui ont déjà manifesté un intérêt pour le suivi des habitats marins dans un contexte de changements climatiques et de développement côtier. Nous formerons les personnes intéressées par la plongée et le travail en laboratoire et embaucherons des opérateurs de bateaux et techniciens de terrain locaux à toutes les étapes du projet. Ce travail contribuera au développement d’un suivi environnemental mené par la communauté et alimentera les discussions entourant les changements affectant la zone côtière de la région.</w:t>
      </w:r>
    </w:p>
    <w:p w14:paraId="78AF8916" w14:textId="5C4D6EC4" w:rsidR="001E54E6" w:rsidRPr="007E72F7" w:rsidRDefault="007E72F7" w:rsidP="007E72F7">
      <w:pPr>
        <w:spacing w:before="100" w:beforeAutospacing="1" w:after="100" w:afterAutospacing="1"/>
        <w:rPr>
          <w:rFonts w:eastAsia="Times New Roman" w:cstheme="minorHAnsi"/>
          <w:kern w:val="0"/>
          <w:lang w:eastAsia="fr-CA"/>
          <w14:ligatures w14:val="none"/>
        </w:rPr>
      </w:pPr>
      <w:r w:rsidRPr="007E72F7">
        <w:rPr>
          <w:rFonts w:eastAsia="Times New Roman" w:cstheme="minorHAnsi"/>
          <w:kern w:val="0"/>
          <w:lang w:eastAsia="fr-CA"/>
          <w14:ligatures w14:val="none"/>
        </w:rPr>
        <w:t xml:space="preserve">Nous fournirons des rapports annuels </w:t>
      </w:r>
      <w:r>
        <w:rPr>
          <w:rFonts w:eastAsia="Times New Roman" w:cstheme="minorHAnsi"/>
          <w:kern w:val="0"/>
          <w:lang w:eastAsia="fr-CA"/>
          <w14:ligatures w14:val="none"/>
        </w:rPr>
        <w:t>à la communauté</w:t>
      </w:r>
      <w:r w:rsidRPr="007E72F7">
        <w:rPr>
          <w:rFonts w:eastAsia="Times New Roman" w:cstheme="minorHAnsi"/>
          <w:kern w:val="0"/>
          <w:lang w:eastAsia="fr-CA"/>
          <w14:ligatures w14:val="none"/>
        </w:rPr>
        <w:t xml:space="preserve"> et </w:t>
      </w:r>
      <w:r>
        <w:rPr>
          <w:rFonts w:eastAsia="Times New Roman" w:cstheme="minorHAnsi"/>
          <w:kern w:val="0"/>
          <w:lang w:eastAsia="fr-CA"/>
          <w14:ligatures w14:val="none"/>
        </w:rPr>
        <w:t>au</w:t>
      </w:r>
      <w:r w:rsidRPr="007E72F7">
        <w:rPr>
          <w:rFonts w:eastAsia="Times New Roman" w:cstheme="minorHAnsi"/>
          <w:kern w:val="0"/>
          <w:lang w:eastAsia="fr-CA"/>
          <w14:ligatures w14:val="none"/>
        </w:rPr>
        <w:t xml:space="preserve"> HTA, </w:t>
      </w:r>
      <w:r>
        <w:rPr>
          <w:rFonts w:eastAsia="Times New Roman" w:cstheme="minorHAnsi"/>
          <w:kern w:val="0"/>
          <w:lang w:eastAsia="fr-CA"/>
          <w14:ligatures w14:val="none"/>
        </w:rPr>
        <w:t>et leur présenterons nos résultats</w:t>
      </w:r>
      <w:r w:rsidRPr="007E72F7">
        <w:rPr>
          <w:rFonts w:eastAsia="Times New Roman" w:cstheme="minorHAnsi"/>
          <w:kern w:val="0"/>
          <w:lang w:eastAsia="fr-CA"/>
          <w14:ligatures w14:val="none"/>
        </w:rPr>
        <w:t xml:space="preserve"> lors de chacune de nos visites, et offrirons également des activités de sensibilisation à l’école. Nous prévoyons aussi produire un guide de terrain illustré (disponible en inuktitut) présentant les sites locaux, la vie marine et les habitats côtiers. Les résultats finaux seront imprimés et partagés lors d’une rencontre officielle avec la HTA, publiés dans des revues en libre accès et présentés lors de conférences avec des partenaires </w:t>
      </w:r>
      <w:r>
        <w:rPr>
          <w:rFonts w:eastAsia="Times New Roman" w:cstheme="minorHAnsi"/>
          <w:kern w:val="0"/>
          <w:lang w:eastAsia="fr-CA"/>
          <w14:ligatures w14:val="none"/>
        </w:rPr>
        <w:t>I</w:t>
      </w:r>
      <w:r w:rsidRPr="007E72F7">
        <w:rPr>
          <w:rFonts w:eastAsia="Times New Roman" w:cstheme="minorHAnsi"/>
          <w:kern w:val="0"/>
          <w:lang w:eastAsia="fr-CA"/>
          <w14:ligatures w14:val="none"/>
        </w:rPr>
        <w:t xml:space="preserve">nuit lorsque possible (p. ex. </w:t>
      </w:r>
      <w:proofErr w:type="spellStart"/>
      <w:r w:rsidRPr="007E72F7">
        <w:rPr>
          <w:rFonts w:eastAsia="Times New Roman" w:cstheme="minorHAnsi"/>
          <w:kern w:val="0"/>
          <w:lang w:eastAsia="fr-CA"/>
          <w14:ligatures w14:val="none"/>
        </w:rPr>
        <w:t>ArcticNet</w:t>
      </w:r>
      <w:proofErr w:type="spellEnd"/>
      <w:r w:rsidRPr="007E72F7">
        <w:rPr>
          <w:rFonts w:eastAsia="Times New Roman" w:cstheme="minorHAnsi"/>
          <w:kern w:val="0"/>
          <w:lang w:eastAsia="fr-CA"/>
          <w14:ligatures w14:val="none"/>
        </w:rPr>
        <w:t xml:space="preserve">, International </w:t>
      </w:r>
      <w:proofErr w:type="spellStart"/>
      <w:r w:rsidRPr="007E72F7">
        <w:rPr>
          <w:rFonts w:eastAsia="Times New Roman" w:cstheme="minorHAnsi"/>
          <w:kern w:val="0"/>
          <w:lang w:eastAsia="fr-CA"/>
          <w14:ligatures w14:val="none"/>
        </w:rPr>
        <w:t>Seaweed</w:t>
      </w:r>
      <w:proofErr w:type="spellEnd"/>
      <w:r w:rsidRPr="007E72F7">
        <w:rPr>
          <w:rFonts w:eastAsia="Times New Roman" w:cstheme="minorHAnsi"/>
          <w:kern w:val="0"/>
          <w:lang w:eastAsia="fr-CA"/>
          <w14:ligatures w14:val="none"/>
        </w:rPr>
        <w:t xml:space="preserve"> Symposium).</w:t>
      </w:r>
    </w:p>
    <w:sectPr w:rsidR="001E54E6" w:rsidRPr="007E72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3335"/>
    <w:multiLevelType w:val="multilevel"/>
    <w:tmpl w:val="6768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3774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2F7"/>
    <w:rsid w:val="001E54E6"/>
    <w:rsid w:val="007E72F7"/>
    <w:rsid w:val="00863901"/>
    <w:rsid w:val="00B9102E"/>
    <w:rsid w:val="00D4778F"/>
    <w:rsid w:val="00D74736"/>
    <w:rsid w:val="00DB4E5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4:docId w14:val="6D82AF30"/>
  <w15:chartTrackingRefBased/>
  <w15:docId w15:val="{51462A5D-DC44-8048-8FE9-73A8F9920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7E72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7E72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7E72F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7E72F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7E72F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7E72F7"/>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7E72F7"/>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7E72F7"/>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7E72F7"/>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E72F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7E72F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7E72F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7E72F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7E72F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7E72F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7E72F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7E72F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7E72F7"/>
    <w:rPr>
      <w:rFonts w:eastAsiaTheme="majorEastAsia" w:cstheme="majorBidi"/>
      <w:color w:val="272727" w:themeColor="text1" w:themeTint="D8"/>
    </w:rPr>
  </w:style>
  <w:style w:type="paragraph" w:styleId="Titre">
    <w:name w:val="Title"/>
    <w:basedOn w:val="Normal"/>
    <w:next w:val="Normal"/>
    <w:link w:val="TitreCar"/>
    <w:uiPriority w:val="10"/>
    <w:qFormat/>
    <w:rsid w:val="007E72F7"/>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E72F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7E72F7"/>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7E72F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7E72F7"/>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7E72F7"/>
    <w:rPr>
      <w:i/>
      <w:iCs/>
      <w:color w:val="404040" w:themeColor="text1" w:themeTint="BF"/>
    </w:rPr>
  </w:style>
  <w:style w:type="paragraph" w:styleId="Paragraphedeliste">
    <w:name w:val="List Paragraph"/>
    <w:basedOn w:val="Normal"/>
    <w:uiPriority w:val="34"/>
    <w:qFormat/>
    <w:rsid w:val="007E72F7"/>
    <w:pPr>
      <w:ind w:left="720"/>
      <w:contextualSpacing/>
    </w:pPr>
  </w:style>
  <w:style w:type="character" w:styleId="Accentuationintense">
    <w:name w:val="Intense Emphasis"/>
    <w:basedOn w:val="Policepardfaut"/>
    <w:uiPriority w:val="21"/>
    <w:qFormat/>
    <w:rsid w:val="007E72F7"/>
    <w:rPr>
      <w:i/>
      <w:iCs/>
      <w:color w:val="2F5496" w:themeColor="accent1" w:themeShade="BF"/>
    </w:rPr>
  </w:style>
  <w:style w:type="paragraph" w:styleId="Citationintense">
    <w:name w:val="Intense Quote"/>
    <w:basedOn w:val="Normal"/>
    <w:next w:val="Normal"/>
    <w:link w:val="CitationintenseCar"/>
    <w:uiPriority w:val="30"/>
    <w:qFormat/>
    <w:rsid w:val="007E72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7E72F7"/>
    <w:rPr>
      <w:i/>
      <w:iCs/>
      <w:color w:val="2F5496" w:themeColor="accent1" w:themeShade="BF"/>
    </w:rPr>
  </w:style>
  <w:style w:type="character" w:styleId="Rfrenceintense">
    <w:name w:val="Intense Reference"/>
    <w:basedOn w:val="Policepardfaut"/>
    <w:uiPriority w:val="32"/>
    <w:qFormat/>
    <w:rsid w:val="007E72F7"/>
    <w:rPr>
      <w:b/>
      <w:bCs/>
      <w:smallCaps/>
      <w:color w:val="2F5496" w:themeColor="accent1" w:themeShade="BF"/>
      <w:spacing w:val="5"/>
    </w:rPr>
  </w:style>
  <w:style w:type="paragraph" w:styleId="NormalWeb">
    <w:name w:val="Normal (Web)"/>
    <w:basedOn w:val="Normal"/>
    <w:uiPriority w:val="99"/>
    <w:semiHidden/>
    <w:unhideWhenUsed/>
    <w:rsid w:val="007E72F7"/>
    <w:pPr>
      <w:spacing w:before="100" w:beforeAutospacing="1" w:after="100" w:afterAutospacing="1"/>
    </w:pPr>
    <w:rPr>
      <w:rFonts w:ascii="Times New Roman" w:eastAsia="Times New Roman" w:hAnsi="Times New Roman" w:cs="Times New Roman"/>
      <w:kern w:val="0"/>
      <w:lang w:eastAsia="fr-CA"/>
      <w14:ligatures w14:val="none"/>
    </w:rPr>
  </w:style>
  <w:style w:type="character" w:styleId="lev">
    <w:name w:val="Strong"/>
    <w:basedOn w:val="Policepardfaut"/>
    <w:uiPriority w:val="22"/>
    <w:qFormat/>
    <w:rsid w:val="007E72F7"/>
    <w:rPr>
      <w:b/>
      <w:bCs/>
    </w:rPr>
  </w:style>
  <w:style w:type="character" w:styleId="Accentuation">
    <w:name w:val="Emphasis"/>
    <w:basedOn w:val="Policepardfaut"/>
    <w:uiPriority w:val="20"/>
    <w:qFormat/>
    <w:rsid w:val="007E72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983</Words>
  <Characters>5088</Characters>
  <Application>Microsoft Office Word</Application>
  <DocSecurity>0</DocSecurity>
  <Lines>254</Lines>
  <Paragraphs>144</Paragraphs>
  <ScaleCrop>false</ScaleCrop>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Lavoie</dc:creator>
  <cp:keywords/>
  <dc:description/>
  <cp:lastModifiedBy>Camille Lavoie</cp:lastModifiedBy>
  <cp:revision>2</cp:revision>
  <dcterms:created xsi:type="dcterms:W3CDTF">2026-05-13T11:42:00Z</dcterms:created>
  <dcterms:modified xsi:type="dcterms:W3CDTF">2026-05-13T12:10:00Z</dcterms:modified>
</cp:coreProperties>
</file>