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A4EDA" w14:textId="1B2B45EA" w:rsidR="00A404E6" w:rsidRPr="00C17B0A" w:rsidRDefault="00A404E6" w:rsidP="00D95BB2">
      <w:r w:rsidRPr="00FF23AE">
        <w:t xml:space="preserve">The introduction of non-indigenous species (NIS) is one of the top drivers of global </w:t>
      </w:r>
      <w:r w:rsidRPr="00C17B0A">
        <w:t>biodiversity loss, with ballast water discharge from ships being the primary source of aquatic NIS introductions around the world [1]. Shipping activity has dramatically increased in the Canadian Arctic due to climate change an</w:t>
      </w:r>
      <w:r w:rsidR="0004579C" w:rsidRPr="00C17B0A">
        <w:t>d</w:t>
      </w:r>
      <w:r w:rsidRPr="00C17B0A">
        <w:t xml:space="preserve"> </w:t>
      </w:r>
      <w:r w:rsidR="0004579C" w:rsidRPr="00C17B0A">
        <w:t>increased resource extraction [2] with Milne Inlet having the largest increase in shipping traffic due to raw iron exports [3,</w:t>
      </w:r>
      <w:r w:rsidR="00FF23AE" w:rsidRPr="00C17B0A">
        <w:t>4</w:t>
      </w:r>
      <w:r w:rsidR="0004579C" w:rsidRPr="00C17B0A">
        <w:t xml:space="preserve">]. Ballast water discharge in this previously undeveloped inlet brings NIS introduction risks with potential impacts to sensitive Arctic marine species/habitats (e.g. areas important for feeding/breeding of narwhal/bowhead, bird colonies and Arctic char), consequences for food security/ local community well-being, and more widespread effects if NIS become established and spread to other Arctic regions. </w:t>
      </w:r>
    </w:p>
    <w:p w14:paraId="09CBA128" w14:textId="6F0AECDE" w:rsidR="00866DFF" w:rsidRPr="00C17B0A" w:rsidRDefault="0004579C" w:rsidP="00D95BB2">
      <w:r w:rsidRPr="00C17B0A">
        <w:t xml:space="preserve">Recent updates in regulations have led to the requirement for ballast water </w:t>
      </w:r>
      <w:r w:rsidR="006207AE" w:rsidRPr="00C17B0A">
        <w:t xml:space="preserve">management </w:t>
      </w:r>
      <w:r w:rsidRPr="00C17B0A">
        <w:t>systems (e.g. chlorination or UV)</w:t>
      </w:r>
      <w:r w:rsidR="00866DFF" w:rsidRPr="00C17B0A">
        <w:t xml:space="preserve"> onboard vessels</w:t>
      </w:r>
      <w:r w:rsidRPr="00C17B0A">
        <w:t>,</w:t>
      </w:r>
      <w:r w:rsidR="00866DFF" w:rsidRPr="00C17B0A">
        <w:t xml:space="preserve"> to treat ballast water before discharge,</w:t>
      </w:r>
      <w:r w:rsidRPr="00C17B0A">
        <w:t xml:space="preserve"> although there is uncertainty about their efficacy in Arctic environments. </w:t>
      </w:r>
      <w:r w:rsidR="00D95BB2" w:rsidRPr="00C17B0A">
        <w:t xml:space="preserve">Southern ballast </w:t>
      </w:r>
      <w:r w:rsidR="00866DFF" w:rsidRPr="00C17B0A">
        <w:t xml:space="preserve">water </w:t>
      </w:r>
      <w:r w:rsidR="00D95BB2" w:rsidRPr="00C17B0A">
        <w:t xml:space="preserve">studies found </w:t>
      </w:r>
      <w:r w:rsidR="00866DFF" w:rsidRPr="00C17B0A">
        <w:t xml:space="preserve">approximately </w:t>
      </w:r>
      <w:r w:rsidR="00D95BB2" w:rsidRPr="00C17B0A">
        <w:t>half of sampled vessels exceeded international treatment standards (Regulation D2</w:t>
      </w:r>
      <w:r w:rsidR="00866DFF" w:rsidRPr="00C17B0A">
        <w:t xml:space="preserve"> </w:t>
      </w:r>
      <w:r w:rsidR="00D95BB2" w:rsidRPr="00C17B0A">
        <w:t>[</w:t>
      </w:r>
      <w:r w:rsidR="00FF23AE" w:rsidRPr="00C17B0A">
        <w:t>5</w:t>
      </w:r>
      <w:r w:rsidR="00D95BB2" w:rsidRPr="00C17B0A">
        <w:t>]) with</w:t>
      </w:r>
      <w:r w:rsidR="00866DFF" w:rsidRPr="00C17B0A">
        <w:t xml:space="preserve"> </w:t>
      </w:r>
      <w:r w:rsidR="00D95BB2" w:rsidRPr="00C17B0A">
        <w:t>10 to 1000s of organisms/m</w:t>
      </w:r>
      <w:r w:rsidR="00D95BB2" w:rsidRPr="00C17B0A">
        <w:rPr>
          <w:vertAlign w:val="superscript"/>
        </w:rPr>
        <w:t>3</w:t>
      </w:r>
      <w:r w:rsidR="00D95BB2" w:rsidRPr="00C17B0A">
        <w:t xml:space="preserve"> of </w:t>
      </w:r>
      <w:r w:rsidR="00866DFF" w:rsidRPr="00C17B0A">
        <w:t xml:space="preserve">ballast </w:t>
      </w:r>
      <w:r w:rsidR="00D95BB2" w:rsidRPr="00C17B0A">
        <w:t>water</w:t>
      </w:r>
      <w:r w:rsidR="00866DFF" w:rsidRPr="00C17B0A">
        <w:t xml:space="preserve"> </w:t>
      </w:r>
      <w:r w:rsidR="00D95BB2" w:rsidRPr="00C17B0A">
        <w:t>[</w:t>
      </w:r>
      <w:r w:rsidR="00FF23AE" w:rsidRPr="00C17B0A">
        <w:t>6</w:t>
      </w:r>
      <w:r w:rsidR="00D95BB2" w:rsidRPr="00C17B0A">
        <w:t>,</w:t>
      </w:r>
      <w:r w:rsidR="00FF23AE" w:rsidRPr="00C17B0A">
        <w:t>7</w:t>
      </w:r>
      <w:r w:rsidR="00D95BB2" w:rsidRPr="00C17B0A">
        <w:t>,</w:t>
      </w:r>
      <w:r w:rsidR="00FF23AE" w:rsidRPr="00C17B0A">
        <w:t>8</w:t>
      </w:r>
      <w:r w:rsidR="00D95BB2" w:rsidRPr="00C17B0A">
        <w:t>], including NIS to Canada</w:t>
      </w:r>
      <w:r w:rsidR="00866DFF" w:rsidRPr="00C17B0A">
        <w:t xml:space="preserve"> </w:t>
      </w:r>
      <w:r w:rsidR="00D95BB2" w:rsidRPr="00C17B0A">
        <w:t>[</w:t>
      </w:r>
      <w:r w:rsidR="00FF23AE" w:rsidRPr="00C17B0A">
        <w:t>7</w:t>
      </w:r>
      <w:r w:rsidR="00D95BB2" w:rsidRPr="00C17B0A">
        <w:t>,</w:t>
      </w:r>
      <w:r w:rsidR="00FF23AE" w:rsidRPr="00C17B0A">
        <w:t>8</w:t>
      </w:r>
      <w:r w:rsidR="00D95BB2" w:rsidRPr="00C17B0A">
        <w:t xml:space="preserve">]. </w:t>
      </w:r>
      <w:r w:rsidR="00866DFF" w:rsidRPr="00C17B0A">
        <w:t>Colder temperatures often lead to slower chemical reactions, suggesting treatment efficacy to ballast water treatment systems may be lower on Arctic voyages [</w:t>
      </w:r>
      <w:r w:rsidR="00FF23AE" w:rsidRPr="00C17B0A">
        <w:t>8</w:t>
      </w:r>
      <w:r w:rsidR="00866DFF" w:rsidRPr="00C17B0A">
        <w:t>] than voyages to southern Canadian ports. In addition, organisms that survive treatment may be hardy, and may be more likely to establish in Arctic environments [</w:t>
      </w:r>
      <w:r w:rsidR="00FF23AE" w:rsidRPr="00C17B0A">
        <w:t>9</w:t>
      </w:r>
      <w:r w:rsidR="00866DFF" w:rsidRPr="00C17B0A">
        <w:t xml:space="preserve">].  </w:t>
      </w:r>
    </w:p>
    <w:p w14:paraId="60EB2B7B" w14:textId="429210E5" w:rsidR="0011557B" w:rsidRPr="00C17B0A" w:rsidRDefault="006207AE" w:rsidP="00D95BB2">
      <w:r w:rsidRPr="00C17B0A">
        <w:t xml:space="preserve">This project will </w:t>
      </w:r>
      <w:r w:rsidR="00866DFF" w:rsidRPr="00C17B0A">
        <w:t xml:space="preserve"> </w:t>
      </w:r>
      <w:r w:rsidRPr="00C17B0A">
        <w:t xml:space="preserve">assess </w:t>
      </w:r>
      <w:r w:rsidR="00866DFF" w:rsidRPr="00C17B0A">
        <w:t>the number and types of organisms in ballast water discharged, as well as efficacy of ballast water treatment systems on-board ships travelling to the arctic is</w:t>
      </w:r>
      <w:r w:rsidR="00736D34" w:rsidRPr="00C17B0A">
        <w:t xml:space="preserve"> </w:t>
      </w:r>
      <w:r w:rsidR="00866DFF" w:rsidRPr="00C17B0A">
        <w:t xml:space="preserve">to better understand the potential risk of NIS under Arctic conditions.  </w:t>
      </w:r>
      <w:r w:rsidRPr="00C17B0A">
        <w:t>Further, it</w:t>
      </w:r>
      <w:r w:rsidR="00866DFF" w:rsidRPr="00C17B0A">
        <w:t xml:space="preserve"> will assess the feasibility of </w:t>
      </w:r>
      <w:r w:rsidR="0011557B" w:rsidRPr="00C17B0A">
        <w:t xml:space="preserve">ballast water sampling and analysis methods for future use by community members/organizations for future ballast water monitoring. </w:t>
      </w:r>
    </w:p>
    <w:p w14:paraId="10859334" w14:textId="311DA110" w:rsidR="008F3A0B" w:rsidRPr="00C17B0A" w:rsidRDefault="00A404E6" w:rsidP="00A404E6">
      <w:pPr>
        <w:rPr>
          <w:lang w:val="en-CA"/>
        </w:rPr>
      </w:pPr>
      <w:r w:rsidRPr="00C17B0A">
        <w:rPr>
          <w:lang w:val="en-CA"/>
        </w:rPr>
        <w:t>In</w:t>
      </w:r>
      <w:r w:rsidR="00B72EEB" w:rsidRPr="00C17B0A">
        <w:rPr>
          <w:lang w:val="en-CA"/>
        </w:rPr>
        <w:t xml:space="preserve"> </w:t>
      </w:r>
      <w:r w:rsidRPr="00C17B0A">
        <w:rPr>
          <w:lang w:val="en-CA"/>
        </w:rPr>
        <w:t xml:space="preserve"> 2026 and 2027, we propose to </w:t>
      </w:r>
      <w:r w:rsidR="0011557B" w:rsidRPr="00C17B0A">
        <w:rPr>
          <w:lang w:val="en-CA"/>
        </w:rPr>
        <w:t xml:space="preserve">sample for up to 8 weeks (length of sampling will be dependant on resources and capacity at Milne Inlet) </w:t>
      </w:r>
      <w:r w:rsidR="00930C55" w:rsidRPr="00C17B0A">
        <w:rPr>
          <w:lang w:val="en-CA"/>
        </w:rPr>
        <w:t xml:space="preserve">during the shipping season </w:t>
      </w:r>
      <w:r w:rsidR="00B72EEB" w:rsidRPr="00C17B0A">
        <w:rPr>
          <w:lang w:val="en-CA"/>
        </w:rPr>
        <w:t>to sample</w:t>
      </w:r>
      <w:r w:rsidR="0011557B" w:rsidRPr="00C17B0A">
        <w:rPr>
          <w:lang w:val="en-CA"/>
        </w:rPr>
        <w:t xml:space="preserve"> a total of up to ~64-80 vessels over the duration of the trial monitoring program.</w:t>
      </w:r>
      <w:r w:rsidR="008F3A0B" w:rsidRPr="00C17B0A">
        <w:rPr>
          <w:lang w:val="en-CA"/>
        </w:rPr>
        <w:t xml:space="preserve"> Sampling will require a team of 4-5 people who will work with ship’s staff to connect sampling equipment to the appropriate sample port on-board. Sampling</w:t>
      </w:r>
      <w:r w:rsidR="0011557B" w:rsidRPr="00C17B0A">
        <w:rPr>
          <w:lang w:val="en-CA"/>
        </w:rPr>
        <w:t xml:space="preserve"> would include </w:t>
      </w:r>
      <w:r w:rsidR="00B72EEB" w:rsidRPr="00C17B0A">
        <w:rPr>
          <w:lang w:val="en-CA"/>
        </w:rPr>
        <w:t>the use of</w:t>
      </w:r>
      <w:r w:rsidR="0011557B" w:rsidRPr="00C17B0A">
        <w:rPr>
          <w:lang w:val="en-CA"/>
        </w:rPr>
        <w:t xml:space="preserve"> the Ballast Catch tool to filter </w:t>
      </w:r>
      <w:r w:rsidR="008F3A0B" w:rsidRPr="00C17B0A">
        <w:rPr>
          <w:lang w:val="en-CA"/>
        </w:rPr>
        <w:t xml:space="preserve">at least 1000-L of </w:t>
      </w:r>
      <w:r w:rsidR="0011557B" w:rsidRPr="00C17B0A">
        <w:rPr>
          <w:lang w:val="en-CA"/>
        </w:rPr>
        <w:t xml:space="preserve">ballast water and collect large size class (≥50 </w:t>
      </w:r>
      <w:r w:rsidR="0011557B" w:rsidRPr="00C17B0A">
        <w:rPr>
          <w:rFonts w:ascii="Symbol" w:hAnsi="Symbol"/>
          <w:lang w:val="en-CA"/>
        </w:rPr>
        <w:t>m</w:t>
      </w:r>
      <w:r w:rsidR="0011557B" w:rsidRPr="00C17B0A">
        <w:rPr>
          <w:lang w:val="en-CA"/>
        </w:rPr>
        <w:t>m) organisms samples as well as</w:t>
      </w:r>
      <w:r w:rsidR="00B72EEB" w:rsidRPr="00C17B0A">
        <w:rPr>
          <w:lang w:val="en-CA"/>
        </w:rPr>
        <w:t xml:space="preserve"> the collection of</w:t>
      </w:r>
      <w:r w:rsidR="0011557B" w:rsidRPr="00C17B0A">
        <w:rPr>
          <w:lang w:val="en-CA"/>
        </w:rPr>
        <w:t xml:space="preserve"> raw (unfiltered) wate</w:t>
      </w:r>
      <w:r w:rsidR="00B72EEB" w:rsidRPr="00C17B0A">
        <w:rPr>
          <w:lang w:val="en-CA"/>
        </w:rPr>
        <w:t xml:space="preserve">r samples for the </w:t>
      </w:r>
      <w:r w:rsidR="0011557B" w:rsidRPr="00C17B0A">
        <w:rPr>
          <w:lang w:val="en-CA"/>
        </w:rPr>
        <w:t xml:space="preserve">small size class (≥10 </w:t>
      </w:r>
      <w:r w:rsidR="0011557B" w:rsidRPr="00C17B0A">
        <w:rPr>
          <w:rFonts w:ascii="Symbol" w:hAnsi="Symbol"/>
          <w:lang w:val="en-CA"/>
        </w:rPr>
        <w:t>m</w:t>
      </w:r>
      <w:r w:rsidR="0011557B" w:rsidRPr="00C17B0A">
        <w:rPr>
          <w:lang w:val="en-CA"/>
        </w:rPr>
        <w:t>m and ≤10</w:t>
      </w:r>
      <w:r w:rsidR="0011557B" w:rsidRPr="00C17B0A">
        <w:rPr>
          <w:rFonts w:ascii="Symbol" w:hAnsi="Symbol"/>
          <w:lang w:val="en-CA"/>
        </w:rPr>
        <w:t>m</w:t>
      </w:r>
      <w:r w:rsidR="0011557B" w:rsidRPr="00C17B0A">
        <w:rPr>
          <w:lang w:val="en-CA"/>
        </w:rPr>
        <w:t>m) organisms.</w:t>
      </w:r>
      <w:r w:rsidR="00B72EEB" w:rsidRPr="00C17B0A">
        <w:rPr>
          <w:lang w:val="en-CA"/>
        </w:rPr>
        <w:t xml:space="preserve"> </w:t>
      </w:r>
      <w:r w:rsidR="008F3A0B" w:rsidRPr="00C17B0A">
        <w:rPr>
          <w:lang w:val="en-CA"/>
        </w:rPr>
        <w:t>In addition to large and small size class samples, w</w:t>
      </w:r>
      <w:r w:rsidR="0011557B" w:rsidRPr="00C17B0A">
        <w:rPr>
          <w:lang w:val="en-CA"/>
        </w:rPr>
        <w:t>ater quality parameters</w:t>
      </w:r>
      <w:r w:rsidR="008F3A0B" w:rsidRPr="00C17B0A">
        <w:rPr>
          <w:lang w:val="en-CA"/>
        </w:rPr>
        <w:t xml:space="preserve"> (</w:t>
      </w:r>
      <w:r w:rsidR="0011557B" w:rsidRPr="00C17B0A">
        <w:rPr>
          <w:lang w:val="en-CA"/>
        </w:rPr>
        <w:t>water temperature, pH, and salinity</w:t>
      </w:r>
      <w:r w:rsidR="008F3A0B" w:rsidRPr="00C17B0A">
        <w:rPr>
          <w:lang w:val="en-CA"/>
        </w:rPr>
        <w:t>)</w:t>
      </w:r>
      <w:r w:rsidR="0011557B" w:rsidRPr="00C17B0A">
        <w:rPr>
          <w:lang w:val="en-CA"/>
        </w:rPr>
        <w:t xml:space="preserve"> </w:t>
      </w:r>
      <w:r w:rsidR="00B72EEB" w:rsidRPr="00C17B0A">
        <w:rPr>
          <w:lang w:val="en-CA"/>
        </w:rPr>
        <w:t>will be measured</w:t>
      </w:r>
      <w:r w:rsidR="008F3A0B" w:rsidRPr="00C17B0A">
        <w:rPr>
          <w:lang w:val="en-CA"/>
        </w:rPr>
        <w:t>, r</w:t>
      </w:r>
      <w:r w:rsidR="00B72EEB" w:rsidRPr="00C17B0A">
        <w:rPr>
          <w:lang w:val="en-CA"/>
        </w:rPr>
        <w:t xml:space="preserve">esidual chlorine levels will be assessed (i.e. </w:t>
      </w:r>
      <w:r w:rsidR="00930C55" w:rsidRPr="00C17B0A">
        <w:rPr>
          <w:lang w:val="en-CA"/>
        </w:rPr>
        <w:t xml:space="preserve">to assess if </w:t>
      </w:r>
      <w:r w:rsidR="00B72EEB" w:rsidRPr="00C17B0A">
        <w:rPr>
          <w:lang w:val="en-CA"/>
        </w:rPr>
        <w:t>the chlorine used to kill living organisms in ballast water neutralized properly)</w:t>
      </w:r>
      <w:r w:rsidR="008F3A0B" w:rsidRPr="00C17B0A">
        <w:rPr>
          <w:lang w:val="en-CA"/>
        </w:rPr>
        <w:t xml:space="preserve"> and e</w:t>
      </w:r>
      <w:r w:rsidR="0011557B" w:rsidRPr="00C17B0A">
        <w:rPr>
          <w:lang w:val="en-CA"/>
        </w:rPr>
        <w:t>nvironment DNA/RNA (eDNA/</w:t>
      </w:r>
      <w:proofErr w:type="spellStart"/>
      <w:r w:rsidR="0011557B" w:rsidRPr="00C17B0A">
        <w:rPr>
          <w:lang w:val="en-CA"/>
        </w:rPr>
        <w:t>eRNA</w:t>
      </w:r>
      <w:proofErr w:type="spellEnd"/>
      <w:r w:rsidR="0011557B" w:rsidRPr="00C17B0A">
        <w:rPr>
          <w:lang w:val="en-CA"/>
        </w:rPr>
        <w:t xml:space="preserve">) </w:t>
      </w:r>
      <w:r w:rsidR="0011557B" w:rsidRPr="00C17B0A">
        <w:rPr>
          <w:lang w:val="en-CA"/>
        </w:rPr>
        <w:lastRenderedPageBreak/>
        <w:t xml:space="preserve">will be collected </w:t>
      </w:r>
      <w:r w:rsidR="00B72EEB" w:rsidRPr="00C17B0A">
        <w:rPr>
          <w:lang w:val="en-CA"/>
        </w:rPr>
        <w:t xml:space="preserve">for later individual- and meta-barcoding to determine the </w:t>
      </w:r>
      <w:r w:rsidR="00930C55" w:rsidRPr="00C17B0A">
        <w:rPr>
          <w:lang w:val="en-CA"/>
        </w:rPr>
        <w:t xml:space="preserve">types </w:t>
      </w:r>
      <w:r w:rsidR="00B72EEB" w:rsidRPr="00C17B0A">
        <w:rPr>
          <w:lang w:val="en-CA"/>
        </w:rPr>
        <w:t xml:space="preserve">of organisms present in ballast water samples. </w:t>
      </w:r>
    </w:p>
    <w:p w14:paraId="01C31987" w14:textId="6253E0F4" w:rsidR="008F3A0B" w:rsidRPr="00C17B0A" w:rsidRDefault="008F3A0B" w:rsidP="00A404E6">
      <w:pPr>
        <w:rPr>
          <w:lang w:val="en-CA"/>
        </w:rPr>
      </w:pPr>
      <w:r w:rsidRPr="00C17B0A">
        <w:rPr>
          <w:lang w:val="en-CA"/>
        </w:rPr>
        <w:t xml:space="preserve">Sample processing will happen on-site at Milne Inlet port where an indicative tool (Ballast eye) will be used to count the number of live organisms in ballast water samples, and assess levels of compliance with the D-2 ballast management standards. A portion of all ballast water samples collected will be preserved for later taxonomic assignment using morphological and genomic methods. </w:t>
      </w:r>
    </w:p>
    <w:p w14:paraId="78D8CDE7" w14:textId="374758B5" w:rsidR="00A404E6" w:rsidRPr="00C17B0A" w:rsidRDefault="00FF23AE" w:rsidP="00A404E6">
      <w:pPr>
        <w:rPr>
          <w:lang w:val="en-CA"/>
        </w:rPr>
      </w:pPr>
      <w:r w:rsidRPr="00C17B0A">
        <w:rPr>
          <w:lang w:val="en-CA"/>
        </w:rPr>
        <w:t xml:space="preserve">Each year, we will host a training workshop where Inuit youth from Pond Inlet, Igloolik and </w:t>
      </w:r>
      <w:proofErr w:type="spellStart"/>
      <w:r w:rsidRPr="00C17B0A">
        <w:rPr>
          <w:lang w:val="en-CA"/>
        </w:rPr>
        <w:t>Sanirajak</w:t>
      </w:r>
      <w:proofErr w:type="spellEnd"/>
      <w:r w:rsidRPr="00C17B0A">
        <w:rPr>
          <w:lang w:val="en-CA"/>
        </w:rPr>
        <w:t xml:space="preserve"> (Hall Beach) involved in the project will learn how to use sampling equipment, and essential safety measures for sampling ships at industrial port sites. A second workshop will take place in the fall where involved Inuit youth will provide feedback on the sampling season and do outreach in each of their communities with support from DFO to share knowledge of the project and discuss questions and concerns will community members. A third workshop will be hosted in the winter where Inuit youth with support from DFO, will analyze data from each field season using mapping and data analysis platforms. </w:t>
      </w:r>
    </w:p>
    <w:p w14:paraId="200BC361" w14:textId="77777777" w:rsidR="00FF23AE" w:rsidRPr="00C17B0A" w:rsidRDefault="00FF23AE" w:rsidP="00A404E6">
      <w:pPr>
        <w:rPr>
          <w:lang w:val="en-CA"/>
        </w:rPr>
      </w:pPr>
    </w:p>
    <w:p w14:paraId="7FFA3890" w14:textId="3AB15052" w:rsidR="00A404E6" w:rsidRPr="00C17B0A" w:rsidRDefault="00A404E6" w:rsidP="00A404E6">
      <w:pPr>
        <w:numPr>
          <w:ilvl w:val="0"/>
          <w:numId w:val="1"/>
        </w:numPr>
      </w:pPr>
      <w:r w:rsidRPr="00C17B0A">
        <w:t xml:space="preserve">Bailey, S.A., Brown, L., Campbell, M.L., Canning-Clode, J., Carlton, J.T., ... Zhan, A. 2020. Trends in the detection of aquatic non-indigenous species across global marine, estuarine and freshwater ecosystems: A 50-year perspective. Diversity and Distributions 26: 1780-1797. </w:t>
      </w:r>
    </w:p>
    <w:p w14:paraId="3D58DAE8" w14:textId="353AD18D" w:rsidR="00A404E6" w:rsidRPr="00C17B0A" w:rsidRDefault="00A404E6" w:rsidP="00A404E6">
      <w:pPr>
        <w:numPr>
          <w:ilvl w:val="0"/>
          <w:numId w:val="1"/>
        </w:numPr>
      </w:pPr>
      <w:r w:rsidRPr="00C17B0A">
        <w:t>Dawson, J., Pizzolato, L., Howell, S. E. L., Copland, L., &amp; Johnston, M. E. 2018. Temporal and spatial patterns of ship traffic in the Canadian Arctic from 1990 to 2015. Arctic 71:15-26.</w:t>
      </w:r>
    </w:p>
    <w:p w14:paraId="14D2D405" w14:textId="56F6CBB4" w:rsidR="00A404E6" w:rsidRPr="00C17B0A" w:rsidRDefault="00A404E6" w:rsidP="00A404E6">
      <w:pPr>
        <w:numPr>
          <w:ilvl w:val="0"/>
          <w:numId w:val="1"/>
        </w:numPr>
      </w:pPr>
      <w:proofErr w:type="spellStart"/>
      <w:r w:rsidRPr="00C17B0A">
        <w:t>Kammermans</w:t>
      </w:r>
      <w:proofErr w:type="spellEnd"/>
      <w:r w:rsidRPr="00C17B0A">
        <w:t xml:space="preserve"> 2023. 2023 NIRB Annual Report: Baffinland Iron Mines 2023 Annual Report to the Nunavut Impact Review Board. 641 p. 2023-NIRB-Annual-Report.pdf (</w:t>
      </w:r>
      <w:r w:rsidR="00FF23AE" w:rsidRPr="00C17B0A">
        <w:t>Baffinland</w:t>
      </w:r>
      <w:r w:rsidRPr="00C17B0A">
        <w:t xml:space="preserve">.com) </w:t>
      </w:r>
    </w:p>
    <w:p w14:paraId="1B6F5A88" w14:textId="3AD01290" w:rsidR="00A404E6" w:rsidRPr="00C17B0A" w:rsidRDefault="00A404E6" w:rsidP="00A404E6">
      <w:pPr>
        <w:numPr>
          <w:ilvl w:val="0"/>
          <w:numId w:val="1"/>
        </w:numPr>
      </w:pPr>
      <w:proofErr w:type="spellStart"/>
      <w:r w:rsidRPr="00C17B0A">
        <w:t>Goldsmit</w:t>
      </w:r>
      <w:proofErr w:type="spellEnd"/>
      <w:r w:rsidRPr="00C17B0A">
        <w:t>, J., McKindsey, C.W., Schlegel, R.W., Stewart, D.B., Archambault, P. and Howland, K.L. 2020. What and where? Predicting invasion hotspots in the Arctic marine realm. Global Change Biology 26: 4752-4771</w:t>
      </w:r>
    </w:p>
    <w:p w14:paraId="19F0CED4" w14:textId="389D093F" w:rsidR="00A404E6" w:rsidRPr="00C17B0A" w:rsidRDefault="00A404E6" w:rsidP="00A404E6">
      <w:pPr>
        <w:numPr>
          <w:ilvl w:val="0"/>
          <w:numId w:val="1"/>
        </w:numPr>
        <w:rPr>
          <w:u w:val="single"/>
        </w:rPr>
      </w:pPr>
      <w:r w:rsidRPr="00C17B0A">
        <w:rPr>
          <w:u w:val="single"/>
        </w:rPr>
        <w:t>https://www.imo.org/en/About/Conventions/Pages/International-Convention-for-the-Control-and-Management-of-Ships%27-Ballast-Water-and-Sediments-(BWM).aspx</w:t>
      </w:r>
    </w:p>
    <w:p w14:paraId="463B5011" w14:textId="44C0E0B2" w:rsidR="00A404E6" w:rsidRPr="00C17B0A" w:rsidRDefault="00A404E6" w:rsidP="00A404E6">
      <w:pPr>
        <w:numPr>
          <w:ilvl w:val="0"/>
          <w:numId w:val="1"/>
        </w:numPr>
      </w:pPr>
      <w:proofErr w:type="spellStart"/>
      <w:r w:rsidRPr="00C17B0A">
        <w:t>Outinen</w:t>
      </w:r>
      <w:proofErr w:type="spellEnd"/>
      <w:r w:rsidRPr="00C17B0A">
        <w:t xml:space="preserve">, O., Bailey, S.A., Casas-Monroy, O., Delacroix, S, </w:t>
      </w:r>
      <w:proofErr w:type="spellStart"/>
      <w:r w:rsidRPr="00C17B0A">
        <w:t>Gorgula</w:t>
      </w:r>
      <w:proofErr w:type="spellEnd"/>
      <w:r w:rsidRPr="00C17B0A">
        <w:t xml:space="preserve">, S., </w:t>
      </w:r>
      <w:proofErr w:type="spellStart"/>
      <w:r w:rsidRPr="00C17B0A">
        <w:t>Griniene</w:t>
      </w:r>
      <w:proofErr w:type="spellEnd"/>
      <w:r w:rsidRPr="00C17B0A">
        <w:t xml:space="preserve">, E., </w:t>
      </w:r>
      <w:proofErr w:type="spellStart"/>
      <w:r w:rsidRPr="00C17B0A">
        <w:t>Kakkonen</w:t>
      </w:r>
      <w:proofErr w:type="spellEnd"/>
      <w:r w:rsidRPr="00C17B0A">
        <w:t xml:space="preserve">, J.E., and </w:t>
      </w:r>
      <w:proofErr w:type="spellStart"/>
      <w:r w:rsidRPr="00C17B0A">
        <w:t>Srebaliene</w:t>
      </w:r>
      <w:proofErr w:type="spellEnd"/>
      <w:r w:rsidRPr="00C17B0A">
        <w:t xml:space="preserve">, G. 2024. Biological testing of ships’ ballast water </w:t>
      </w:r>
      <w:r w:rsidRPr="00C17B0A">
        <w:lastRenderedPageBreak/>
        <w:t xml:space="preserve">indicates challenges for the implementation of the Ballast Water Management Convention. Front. Mar. Sci. 11:1334286. </w:t>
      </w:r>
    </w:p>
    <w:p w14:paraId="6C7B66BA" w14:textId="2D322374" w:rsidR="00A404E6" w:rsidRPr="00C17B0A" w:rsidRDefault="00A404E6" w:rsidP="00A404E6">
      <w:pPr>
        <w:numPr>
          <w:ilvl w:val="0"/>
          <w:numId w:val="1"/>
        </w:numPr>
      </w:pPr>
      <w:r w:rsidRPr="00C17B0A">
        <w:t>Bailey, S.A., Brydges, T., Casas-Monroy, O., Kydd, J., Linley, R.D., Rozon, R.M. and Darling, J. 2022. First evaluation of ballast water management systems on operational ships for minimizing introductions of nonindigenous zooplankton. Marine Pollution Bulletin 182: 113947.</w:t>
      </w:r>
    </w:p>
    <w:p w14:paraId="5520E382" w14:textId="5DB92585" w:rsidR="00A404E6" w:rsidRPr="00C17B0A" w:rsidRDefault="00A404E6" w:rsidP="00A404E6">
      <w:pPr>
        <w:numPr>
          <w:ilvl w:val="0"/>
          <w:numId w:val="1"/>
        </w:numPr>
      </w:pPr>
      <w:r w:rsidRPr="00C17B0A">
        <w:t>Bailey S.A., Casas-Monroy, O., Kydd, J., Ogilvie, D., Rozon, R. and Yardley, S. 2023. Efficacy of ballast water management systems operating within the Great Lakes and St. Lawrence River (2017-2022). Canadian Data Report of Fisheries and Aquatic Sciences 1376: vii + 24</w:t>
      </w:r>
    </w:p>
    <w:p w14:paraId="3D4B800E" w14:textId="4CF07415" w:rsidR="00A404E6" w:rsidRPr="00C17B0A" w:rsidRDefault="00A404E6" w:rsidP="00A404E6">
      <w:pPr>
        <w:numPr>
          <w:ilvl w:val="0"/>
          <w:numId w:val="1"/>
        </w:numPr>
      </w:pPr>
      <w:r w:rsidRPr="00C17B0A">
        <w:t xml:space="preserve">Briski E, Chan F, Darling J, </w:t>
      </w:r>
      <w:proofErr w:type="spellStart"/>
      <w:r w:rsidRPr="00C17B0A">
        <w:t>Lauringson</w:t>
      </w:r>
      <w:proofErr w:type="spellEnd"/>
      <w:r w:rsidRPr="00C17B0A">
        <w:t xml:space="preserve"> V, MacIsaac H, Zhan A and SA Bailey. 2018. Beyond propagule pressure: importance of selection during the transport stage of biological invasion. Frontiers in Ecology and the Environment 16: 345-353.</w:t>
      </w:r>
    </w:p>
    <w:p w14:paraId="3FCAD13C" w14:textId="77777777" w:rsidR="00A404E6" w:rsidRPr="00A404E6" w:rsidRDefault="00A404E6" w:rsidP="00A404E6">
      <w:pPr>
        <w:rPr>
          <w:b/>
          <w:bCs/>
        </w:rPr>
      </w:pPr>
    </w:p>
    <w:p w14:paraId="0665490D" w14:textId="77777777" w:rsidR="00247071" w:rsidRPr="00A404E6" w:rsidRDefault="00247071"/>
    <w:p w14:paraId="21262318" w14:textId="77777777" w:rsidR="00137914" w:rsidRDefault="00137914"/>
    <w:p w14:paraId="2B579590" w14:textId="77777777" w:rsidR="00137914" w:rsidRDefault="00137914"/>
    <w:p w14:paraId="06485C3A" w14:textId="77777777" w:rsidR="00137914" w:rsidRPr="00137914" w:rsidRDefault="00137914"/>
    <w:sectPr w:rsidR="00137914" w:rsidRPr="00137914">
      <w:headerReference w:type="even" r:id="rId7"/>
      <w:head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E8E37" w14:textId="77777777" w:rsidR="00525925" w:rsidRDefault="00525925" w:rsidP="006B2D10">
      <w:pPr>
        <w:spacing w:after="0" w:line="240" w:lineRule="auto"/>
      </w:pPr>
      <w:r>
        <w:separator/>
      </w:r>
    </w:p>
  </w:endnote>
  <w:endnote w:type="continuationSeparator" w:id="0">
    <w:p w14:paraId="4554D86A" w14:textId="77777777" w:rsidR="00525925" w:rsidRDefault="00525925" w:rsidP="006B2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F40C6" w14:textId="77777777" w:rsidR="00525925" w:rsidRDefault="00525925" w:rsidP="006B2D10">
      <w:pPr>
        <w:spacing w:after="0" w:line="240" w:lineRule="auto"/>
      </w:pPr>
      <w:r>
        <w:separator/>
      </w:r>
    </w:p>
  </w:footnote>
  <w:footnote w:type="continuationSeparator" w:id="0">
    <w:p w14:paraId="46D449A9" w14:textId="77777777" w:rsidR="00525925" w:rsidRDefault="00525925" w:rsidP="006B2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E1B92" w14:textId="0F9A6217" w:rsidR="006B2D10" w:rsidRDefault="006B2D10">
    <w:pPr>
      <w:pStyle w:val="Header"/>
    </w:pPr>
    <w:r>
      <w:rPr>
        <w:noProof/>
      </w:rPr>
      <mc:AlternateContent>
        <mc:Choice Requires="wps">
          <w:drawing>
            <wp:anchor distT="0" distB="0" distL="0" distR="0" simplePos="0" relativeHeight="251659264" behindDoc="0" locked="0" layoutInCell="1" allowOverlap="1" wp14:anchorId="30B1D8A2" wp14:editId="677E3D3B">
              <wp:simplePos x="635" y="635"/>
              <wp:positionH relativeFrom="page">
                <wp:align>right</wp:align>
              </wp:positionH>
              <wp:positionV relativeFrom="page">
                <wp:align>top</wp:align>
              </wp:positionV>
              <wp:extent cx="1916430" cy="405765"/>
              <wp:effectExtent l="0" t="0" r="0" b="13335"/>
              <wp:wrapNone/>
              <wp:docPr id="769960662" name="Text Box 2" descr="Unclassified - Non-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16430" cy="405765"/>
                      </a:xfrm>
                      <a:prstGeom prst="rect">
                        <a:avLst/>
                      </a:prstGeom>
                      <a:noFill/>
                      <a:ln>
                        <a:noFill/>
                      </a:ln>
                    </wps:spPr>
                    <wps:txbx>
                      <w:txbxContent>
                        <w:p w14:paraId="03BF15E1" w14:textId="54B715BB" w:rsidR="006B2D10" w:rsidRPr="006B2D10" w:rsidRDefault="006B2D10" w:rsidP="006B2D10">
                          <w:pPr>
                            <w:spacing w:after="0"/>
                            <w:rPr>
                              <w:rFonts w:ascii="Calibri" w:eastAsia="Calibri" w:hAnsi="Calibri" w:cs="Calibri"/>
                              <w:noProof/>
                              <w:color w:val="000000"/>
                            </w:rPr>
                          </w:pPr>
                          <w:r w:rsidRPr="006B2D10">
                            <w:rPr>
                              <w:rFonts w:ascii="Calibri" w:eastAsia="Calibri" w:hAnsi="Calibri" w:cs="Calibri"/>
                              <w:noProof/>
                              <w:color w:val="000000"/>
                            </w:rPr>
                            <w:t>Unclassified - Non-Classifié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0B1D8A2" id="_x0000_t202" coordsize="21600,21600" o:spt="202" path="m,l,21600r21600,l21600,xe">
              <v:stroke joinstyle="miter"/>
              <v:path gradientshapeok="t" o:connecttype="rect"/>
            </v:shapetype>
            <v:shape id="Text Box 2" o:spid="_x0000_s1026" type="#_x0000_t202" alt="Unclassified - Non-Classifié" style="position:absolute;margin-left:110.9pt;margin-top:0;width:150.9pt;height:31.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" filled="f" stroked="f">
              <v:textbox style="mso-fit-shape-to-text:t" inset="0,15pt,20pt,0">
                <w:txbxContent>
                  <w:p w14:paraId="03BF15E1" w14:textId="54B715BB" w:rsidR="006B2D10" w:rsidRPr="006B2D10" w:rsidRDefault="006B2D10" w:rsidP="006B2D10">
                    <w:pPr>
                      <w:spacing w:after="0"/>
                      <w:rPr>
                        <w:rFonts w:ascii="Calibri" w:eastAsia="Calibri" w:hAnsi="Calibri" w:cs="Calibri"/>
                        <w:noProof/>
                        <w:color w:val="000000"/>
                      </w:rPr>
                    </w:pPr>
                    <w:r w:rsidRPr="006B2D10">
                      <w:rPr>
                        <w:rFonts w:ascii="Calibri" w:eastAsia="Calibri" w:hAnsi="Calibri" w:cs="Calibri"/>
                        <w:noProof/>
                        <w:color w:val="000000"/>
                      </w:rPr>
                      <w:t>Unclassified - Non-Classifié</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B6E50" w14:textId="3FAE4180" w:rsidR="006B2D10" w:rsidRDefault="006B2D10">
    <w:pPr>
      <w:pStyle w:val="Header"/>
    </w:pPr>
    <w:r>
      <w:rPr>
        <w:noProof/>
      </w:rPr>
      <mc:AlternateContent>
        <mc:Choice Requires="wps">
          <w:drawing>
            <wp:anchor distT="0" distB="0" distL="0" distR="0" simplePos="0" relativeHeight="251658240" behindDoc="0" locked="0" layoutInCell="1" allowOverlap="1" wp14:anchorId="1B13AB09" wp14:editId="1D8A1CFD">
              <wp:simplePos x="635" y="635"/>
              <wp:positionH relativeFrom="page">
                <wp:align>right</wp:align>
              </wp:positionH>
              <wp:positionV relativeFrom="page">
                <wp:align>top</wp:align>
              </wp:positionV>
              <wp:extent cx="1916430" cy="405765"/>
              <wp:effectExtent l="0" t="0" r="0" b="13335"/>
              <wp:wrapNone/>
              <wp:docPr id="364176394" name="Text Box 1" descr="Unclassified - Non-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16430" cy="405765"/>
                      </a:xfrm>
                      <a:prstGeom prst="rect">
                        <a:avLst/>
                      </a:prstGeom>
                      <a:noFill/>
                      <a:ln>
                        <a:noFill/>
                      </a:ln>
                    </wps:spPr>
                    <wps:txbx>
                      <w:txbxContent>
                        <w:p w14:paraId="0C183DB7" w14:textId="19043BC6" w:rsidR="006B2D10" w:rsidRPr="006B2D10" w:rsidRDefault="006B2D10" w:rsidP="006B2D10">
                          <w:pPr>
                            <w:spacing w:after="0"/>
                            <w:rPr>
                              <w:rFonts w:ascii="Calibri" w:eastAsia="Calibri" w:hAnsi="Calibri" w:cs="Calibri"/>
                              <w:noProof/>
                              <w:color w:val="000000"/>
                            </w:rPr>
                          </w:pPr>
                          <w:r w:rsidRPr="006B2D10">
                            <w:rPr>
                              <w:rFonts w:ascii="Calibri" w:eastAsia="Calibri" w:hAnsi="Calibri" w:cs="Calibri"/>
                              <w:noProof/>
                              <w:color w:val="000000"/>
                            </w:rPr>
                            <w:t>Unclassified - Non-Classifié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B13AB09" id="_x0000_t202" coordsize="21600,21600" o:spt="202" path="m,l,21600r21600,l21600,xe">
              <v:stroke joinstyle="miter"/>
              <v:path gradientshapeok="t" o:connecttype="rect"/>
            </v:shapetype>
            <v:shape id="Text Box 1" o:spid="_x0000_s1027" type="#_x0000_t202" alt="Unclassified - Non-Classifié" style="position:absolute;margin-left:110.9pt;margin-top:0;width:150.9pt;height:31.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" filled="f" stroked="f">
              <v:textbox style="mso-fit-shape-to-text:t" inset="0,15pt,20pt,0">
                <w:txbxContent>
                  <w:p w14:paraId="0C183DB7" w14:textId="19043BC6" w:rsidR="006B2D10" w:rsidRPr="006B2D10" w:rsidRDefault="006B2D10" w:rsidP="006B2D10">
                    <w:pPr>
                      <w:spacing w:after="0"/>
                      <w:rPr>
                        <w:rFonts w:ascii="Calibri" w:eastAsia="Calibri" w:hAnsi="Calibri" w:cs="Calibri"/>
                        <w:noProof/>
                        <w:color w:val="000000"/>
                      </w:rPr>
                    </w:pPr>
                    <w:r w:rsidRPr="006B2D10">
                      <w:rPr>
                        <w:rFonts w:ascii="Calibri" w:eastAsia="Calibri" w:hAnsi="Calibri" w:cs="Calibri"/>
                        <w:noProof/>
                        <w:color w:val="000000"/>
                      </w:rPr>
                      <w:t>Unclassified - Non-Classifié</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48856"/>
    <w:multiLevelType w:val="hybridMultilevel"/>
    <w:tmpl w:val="FFFFFFFF"/>
    <w:lvl w:ilvl="0" w:tplc="508C9C54">
      <w:start w:val="1"/>
      <w:numFmt w:val="decimal"/>
      <w:lvlText w:val="%1."/>
      <w:lvlJc w:val="left"/>
      <w:pPr>
        <w:ind w:left="360" w:hanging="360"/>
      </w:pPr>
    </w:lvl>
    <w:lvl w:ilvl="1" w:tplc="E522E1C2">
      <w:start w:val="1"/>
      <w:numFmt w:val="lowerLetter"/>
      <w:lvlText w:val="%2."/>
      <w:lvlJc w:val="left"/>
      <w:pPr>
        <w:ind w:left="1440" w:hanging="360"/>
      </w:pPr>
    </w:lvl>
    <w:lvl w:ilvl="2" w:tplc="58287410">
      <w:start w:val="1"/>
      <w:numFmt w:val="lowerRoman"/>
      <w:lvlText w:val="%3."/>
      <w:lvlJc w:val="right"/>
      <w:pPr>
        <w:ind w:left="2160" w:hanging="180"/>
      </w:pPr>
    </w:lvl>
    <w:lvl w:ilvl="3" w:tplc="F85A4316">
      <w:start w:val="1"/>
      <w:numFmt w:val="decimal"/>
      <w:lvlText w:val="%4."/>
      <w:lvlJc w:val="left"/>
      <w:pPr>
        <w:ind w:left="2880" w:hanging="360"/>
      </w:pPr>
    </w:lvl>
    <w:lvl w:ilvl="4" w:tplc="21564376">
      <w:start w:val="1"/>
      <w:numFmt w:val="lowerLetter"/>
      <w:lvlText w:val="%5."/>
      <w:lvlJc w:val="left"/>
      <w:pPr>
        <w:ind w:left="3600" w:hanging="360"/>
      </w:pPr>
    </w:lvl>
    <w:lvl w:ilvl="5" w:tplc="67A22BAA">
      <w:start w:val="1"/>
      <w:numFmt w:val="lowerRoman"/>
      <w:lvlText w:val="%6."/>
      <w:lvlJc w:val="right"/>
      <w:pPr>
        <w:ind w:left="4320" w:hanging="180"/>
      </w:pPr>
    </w:lvl>
    <w:lvl w:ilvl="6" w:tplc="755A8D96">
      <w:start w:val="1"/>
      <w:numFmt w:val="decimal"/>
      <w:lvlText w:val="%7."/>
      <w:lvlJc w:val="left"/>
      <w:pPr>
        <w:ind w:left="5040" w:hanging="360"/>
      </w:pPr>
    </w:lvl>
    <w:lvl w:ilvl="7" w:tplc="523C38F2">
      <w:start w:val="1"/>
      <w:numFmt w:val="lowerLetter"/>
      <w:lvlText w:val="%8."/>
      <w:lvlJc w:val="left"/>
      <w:pPr>
        <w:ind w:left="5760" w:hanging="360"/>
      </w:pPr>
    </w:lvl>
    <w:lvl w:ilvl="8" w:tplc="0FA45214">
      <w:start w:val="1"/>
      <w:numFmt w:val="lowerRoman"/>
      <w:lvlText w:val="%9."/>
      <w:lvlJc w:val="right"/>
      <w:pPr>
        <w:ind w:left="6480" w:hanging="180"/>
      </w:pPr>
    </w:lvl>
  </w:abstractNum>
  <w:num w:numId="1" w16cid:durableId="1524567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BB2"/>
    <w:rsid w:val="00011593"/>
    <w:rsid w:val="0004579C"/>
    <w:rsid w:val="0011557B"/>
    <w:rsid w:val="00137914"/>
    <w:rsid w:val="00247071"/>
    <w:rsid w:val="00247212"/>
    <w:rsid w:val="0029359A"/>
    <w:rsid w:val="002C3404"/>
    <w:rsid w:val="004445AC"/>
    <w:rsid w:val="00525925"/>
    <w:rsid w:val="00590F86"/>
    <w:rsid w:val="005E7869"/>
    <w:rsid w:val="006207AE"/>
    <w:rsid w:val="00656376"/>
    <w:rsid w:val="006B2D10"/>
    <w:rsid w:val="00736D34"/>
    <w:rsid w:val="00764BF2"/>
    <w:rsid w:val="00771439"/>
    <w:rsid w:val="00792B4B"/>
    <w:rsid w:val="00866DFF"/>
    <w:rsid w:val="008F3A0B"/>
    <w:rsid w:val="00930160"/>
    <w:rsid w:val="00930C55"/>
    <w:rsid w:val="00956785"/>
    <w:rsid w:val="009864ED"/>
    <w:rsid w:val="00A404E6"/>
    <w:rsid w:val="00B72EEB"/>
    <w:rsid w:val="00C17B0A"/>
    <w:rsid w:val="00C354FE"/>
    <w:rsid w:val="00CF60C3"/>
    <w:rsid w:val="00D95BB2"/>
    <w:rsid w:val="00EA1BE9"/>
    <w:rsid w:val="00ED0186"/>
    <w:rsid w:val="00F0106D"/>
    <w:rsid w:val="00FF2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F8698"/>
  <w15:chartTrackingRefBased/>
  <w15:docId w15:val="{21D9F2BF-6E26-4D46-979B-F62FF88C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5B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5B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5B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5B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5B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5B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5B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5B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5B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B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5B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5B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5B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5B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5B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5B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5B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5BB2"/>
    <w:rPr>
      <w:rFonts w:eastAsiaTheme="majorEastAsia" w:cstheme="majorBidi"/>
      <w:color w:val="272727" w:themeColor="text1" w:themeTint="D8"/>
    </w:rPr>
  </w:style>
  <w:style w:type="paragraph" w:styleId="Title">
    <w:name w:val="Title"/>
    <w:basedOn w:val="Normal"/>
    <w:next w:val="Normal"/>
    <w:link w:val="TitleChar"/>
    <w:uiPriority w:val="10"/>
    <w:qFormat/>
    <w:rsid w:val="00D95B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5B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5B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5B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5BB2"/>
    <w:pPr>
      <w:spacing w:before="160"/>
      <w:jc w:val="center"/>
    </w:pPr>
    <w:rPr>
      <w:i/>
      <w:iCs/>
      <w:color w:val="404040" w:themeColor="text1" w:themeTint="BF"/>
    </w:rPr>
  </w:style>
  <w:style w:type="character" w:customStyle="1" w:styleId="QuoteChar">
    <w:name w:val="Quote Char"/>
    <w:basedOn w:val="DefaultParagraphFont"/>
    <w:link w:val="Quote"/>
    <w:uiPriority w:val="29"/>
    <w:rsid w:val="00D95BB2"/>
    <w:rPr>
      <w:i/>
      <w:iCs/>
      <w:color w:val="404040" w:themeColor="text1" w:themeTint="BF"/>
    </w:rPr>
  </w:style>
  <w:style w:type="paragraph" w:styleId="ListParagraph">
    <w:name w:val="List Paragraph"/>
    <w:basedOn w:val="Normal"/>
    <w:uiPriority w:val="34"/>
    <w:qFormat/>
    <w:rsid w:val="00D95BB2"/>
    <w:pPr>
      <w:ind w:left="720"/>
      <w:contextualSpacing/>
    </w:pPr>
  </w:style>
  <w:style w:type="character" w:styleId="IntenseEmphasis">
    <w:name w:val="Intense Emphasis"/>
    <w:basedOn w:val="DefaultParagraphFont"/>
    <w:uiPriority w:val="21"/>
    <w:qFormat/>
    <w:rsid w:val="00D95BB2"/>
    <w:rPr>
      <w:i/>
      <w:iCs/>
      <w:color w:val="0F4761" w:themeColor="accent1" w:themeShade="BF"/>
    </w:rPr>
  </w:style>
  <w:style w:type="paragraph" w:styleId="IntenseQuote">
    <w:name w:val="Intense Quote"/>
    <w:basedOn w:val="Normal"/>
    <w:next w:val="Normal"/>
    <w:link w:val="IntenseQuoteChar"/>
    <w:uiPriority w:val="30"/>
    <w:qFormat/>
    <w:rsid w:val="00D95B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5BB2"/>
    <w:rPr>
      <w:i/>
      <w:iCs/>
      <w:color w:val="0F4761" w:themeColor="accent1" w:themeShade="BF"/>
    </w:rPr>
  </w:style>
  <w:style w:type="character" w:styleId="IntenseReference">
    <w:name w:val="Intense Reference"/>
    <w:basedOn w:val="DefaultParagraphFont"/>
    <w:uiPriority w:val="32"/>
    <w:qFormat/>
    <w:rsid w:val="00D95BB2"/>
    <w:rPr>
      <w:b/>
      <w:bCs/>
      <w:smallCaps/>
      <w:color w:val="0F4761" w:themeColor="accent1" w:themeShade="BF"/>
      <w:spacing w:val="5"/>
    </w:rPr>
  </w:style>
  <w:style w:type="character" w:styleId="Hyperlink">
    <w:name w:val="Hyperlink"/>
    <w:basedOn w:val="DefaultParagraphFont"/>
    <w:uiPriority w:val="99"/>
    <w:unhideWhenUsed/>
    <w:rsid w:val="00A404E6"/>
    <w:rPr>
      <w:color w:val="467886" w:themeColor="hyperlink"/>
      <w:u w:val="single"/>
    </w:rPr>
  </w:style>
  <w:style w:type="character" w:styleId="UnresolvedMention">
    <w:name w:val="Unresolved Mention"/>
    <w:basedOn w:val="DefaultParagraphFont"/>
    <w:uiPriority w:val="99"/>
    <w:semiHidden/>
    <w:unhideWhenUsed/>
    <w:rsid w:val="00A404E6"/>
    <w:rPr>
      <w:color w:val="605E5C"/>
      <w:shd w:val="clear" w:color="auto" w:fill="E1DFDD"/>
    </w:rPr>
  </w:style>
  <w:style w:type="paragraph" w:styleId="Header">
    <w:name w:val="header"/>
    <w:basedOn w:val="Normal"/>
    <w:link w:val="HeaderChar"/>
    <w:uiPriority w:val="99"/>
    <w:unhideWhenUsed/>
    <w:rsid w:val="006B2D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D10"/>
  </w:style>
  <w:style w:type="paragraph" w:styleId="Revision">
    <w:name w:val="Revision"/>
    <w:hidden/>
    <w:uiPriority w:val="99"/>
    <w:semiHidden/>
    <w:rsid w:val="006207AE"/>
    <w:pPr>
      <w:spacing w:after="0" w:line="240" w:lineRule="auto"/>
    </w:pPr>
  </w:style>
  <w:style w:type="paragraph" w:styleId="Footer">
    <w:name w:val="footer"/>
    <w:basedOn w:val="Normal"/>
    <w:link w:val="FooterChar"/>
    <w:uiPriority w:val="99"/>
    <w:unhideWhenUsed/>
    <w:rsid w:val="00764B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60352">
      <w:bodyDiv w:val="1"/>
      <w:marLeft w:val="0"/>
      <w:marRight w:val="0"/>
      <w:marTop w:val="0"/>
      <w:marBottom w:val="0"/>
      <w:divBdr>
        <w:top w:val="none" w:sz="0" w:space="0" w:color="auto"/>
        <w:left w:val="none" w:sz="0" w:space="0" w:color="auto"/>
        <w:bottom w:val="none" w:sz="0" w:space="0" w:color="auto"/>
        <w:right w:val="none" w:sz="0" w:space="0" w:color="auto"/>
      </w:divBdr>
    </w:div>
    <w:div w:id="147595472">
      <w:bodyDiv w:val="1"/>
      <w:marLeft w:val="0"/>
      <w:marRight w:val="0"/>
      <w:marTop w:val="0"/>
      <w:marBottom w:val="0"/>
      <w:divBdr>
        <w:top w:val="none" w:sz="0" w:space="0" w:color="auto"/>
        <w:left w:val="none" w:sz="0" w:space="0" w:color="auto"/>
        <w:bottom w:val="none" w:sz="0" w:space="0" w:color="auto"/>
        <w:right w:val="none" w:sz="0" w:space="0" w:color="auto"/>
      </w:divBdr>
    </w:div>
    <w:div w:id="211037199">
      <w:bodyDiv w:val="1"/>
      <w:marLeft w:val="0"/>
      <w:marRight w:val="0"/>
      <w:marTop w:val="0"/>
      <w:marBottom w:val="0"/>
      <w:divBdr>
        <w:top w:val="none" w:sz="0" w:space="0" w:color="auto"/>
        <w:left w:val="none" w:sz="0" w:space="0" w:color="auto"/>
        <w:bottom w:val="none" w:sz="0" w:space="0" w:color="auto"/>
        <w:right w:val="none" w:sz="0" w:space="0" w:color="auto"/>
      </w:divBdr>
    </w:div>
    <w:div w:id="272518297">
      <w:bodyDiv w:val="1"/>
      <w:marLeft w:val="0"/>
      <w:marRight w:val="0"/>
      <w:marTop w:val="0"/>
      <w:marBottom w:val="0"/>
      <w:divBdr>
        <w:top w:val="none" w:sz="0" w:space="0" w:color="auto"/>
        <w:left w:val="none" w:sz="0" w:space="0" w:color="auto"/>
        <w:bottom w:val="none" w:sz="0" w:space="0" w:color="auto"/>
        <w:right w:val="none" w:sz="0" w:space="0" w:color="auto"/>
      </w:divBdr>
    </w:div>
    <w:div w:id="356857639">
      <w:bodyDiv w:val="1"/>
      <w:marLeft w:val="0"/>
      <w:marRight w:val="0"/>
      <w:marTop w:val="0"/>
      <w:marBottom w:val="0"/>
      <w:divBdr>
        <w:top w:val="none" w:sz="0" w:space="0" w:color="auto"/>
        <w:left w:val="none" w:sz="0" w:space="0" w:color="auto"/>
        <w:bottom w:val="none" w:sz="0" w:space="0" w:color="auto"/>
        <w:right w:val="none" w:sz="0" w:space="0" w:color="auto"/>
      </w:divBdr>
    </w:div>
    <w:div w:id="625544589">
      <w:bodyDiv w:val="1"/>
      <w:marLeft w:val="0"/>
      <w:marRight w:val="0"/>
      <w:marTop w:val="0"/>
      <w:marBottom w:val="0"/>
      <w:divBdr>
        <w:top w:val="none" w:sz="0" w:space="0" w:color="auto"/>
        <w:left w:val="none" w:sz="0" w:space="0" w:color="auto"/>
        <w:bottom w:val="none" w:sz="0" w:space="0" w:color="auto"/>
        <w:right w:val="none" w:sz="0" w:space="0" w:color="auto"/>
      </w:divBdr>
    </w:div>
    <w:div w:id="772558404">
      <w:bodyDiv w:val="1"/>
      <w:marLeft w:val="0"/>
      <w:marRight w:val="0"/>
      <w:marTop w:val="0"/>
      <w:marBottom w:val="0"/>
      <w:divBdr>
        <w:top w:val="none" w:sz="0" w:space="0" w:color="auto"/>
        <w:left w:val="none" w:sz="0" w:space="0" w:color="auto"/>
        <w:bottom w:val="none" w:sz="0" w:space="0" w:color="auto"/>
        <w:right w:val="none" w:sz="0" w:space="0" w:color="auto"/>
      </w:divBdr>
    </w:div>
    <w:div w:id="1245922117">
      <w:bodyDiv w:val="1"/>
      <w:marLeft w:val="0"/>
      <w:marRight w:val="0"/>
      <w:marTop w:val="0"/>
      <w:marBottom w:val="0"/>
      <w:divBdr>
        <w:top w:val="none" w:sz="0" w:space="0" w:color="auto"/>
        <w:left w:val="none" w:sz="0" w:space="0" w:color="auto"/>
        <w:bottom w:val="none" w:sz="0" w:space="0" w:color="auto"/>
        <w:right w:val="none" w:sz="0" w:space="0" w:color="auto"/>
      </w:divBdr>
    </w:div>
    <w:div w:id="1271426617">
      <w:bodyDiv w:val="1"/>
      <w:marLeft w:val="0"/>
      <w:marRight w:val="0"/>
      <w:marTop w:val="0"/>
      <w:marBottom w:val="0"/>
      <w:divBdr>
        <w:top w:val="none" w:sz="0" w:space="0" w:color="auto"/>
        <w:left w:val="none" w:sz="0" w:space="0" w:color="auto"/>
        <w:bottom w:val="none" w:sz="0" w:space="0" w:color="auto"/>
        <w:right w:val="none" w:sz="0" w:space="0" w:color="auto"/>
      </w:divBdr>
    </w:div>
    <w:div w:id="1313408623">
      <w:bodyDiv w:val="1"/>
      <w:marLeft w:val="0"/>
      <w:marRight w:val="0"/>
      <w:marTop w:val="0"/>
      <w:marBottom w:val="0"/>
      <w:divBdr>
        <w:top w:val="none" w:sz="0" w:space="0" w:color="auto"/>
        <w:left w:val="none" w:sz="0" w:space="0" w:color="auto"/>
        <w:bottom w:val="none" w:sz="0" w:space="0" w:color="auto"/>
        <w:right w:val="none" w:sz="0" w:space="0" w:color="auto"/>
      </w:divBdr>
    </w:div>
    <w:div w:id="1323895916">
      <w:bodyDiv w:val="1"/>
      <w:marLeft w:val="0"/>
      <w:marRight w:val="0"/>
      <w:marTop w:val="0"/>
      <w:marBottom w:val="0"/>
      <w:divBdr>
        <w:top w:val="none" w:sz="0" w:space="0" w:color="auto"/>
        <w:left w:val="none" w:sz="0" w:space="0" w:color="auto"/>
        <w:bottom w:val="none" w:sz="0" w:space="0" w:color="auto"/>
        <w:right w:val="none" w:sz="0" w:space="0" w:color="auto"/>
      </w:divBdr>
    </w:div>
    <w:div w:id="1357997572">
      <w:bodyDiv w:val="1"/>
      <w:marLeft w:val="0"/>
      <w:marRight w:val="0"/>
      <w:marTop w:val="0"/>
      <w:marBottom w:val="0"/>
      <w:divBdr>
        <w:top w:val="none" w:sz="0" w:space="0" w:color="auto"/>
        <w:left w:val="none" w:sz="0" w:space="0" w:color="auto"/>
        <w:bottom w:val="none" w:sz="0" w:space="0" w:color="auto"/>
        <w:right w:val="none" w:sz="0" w:space="0" w:color="auto"/>
      </w:divBdr>
    </w:div>
    <w:div w:id="1365597372">
      <w:bodyDiv w:val="1"/>
      <w:marLeft w:val="0"/>
      <w:marRight w:val="0"/>
      <w:marTop w:val="0"/>
      <w:marBottom w:val="0"/>
      <w:divBdr>
        <w:top w:val="none" w:sz="0" w:space="0" w:color="auto"/>
        <w:left w:val="none" w:sz="0" w:space="0" w:color="auto"/>
        <w:bottom w:val="none" w:sz="0" w:space="0" w:color="auto"/>
        <w:right w:val="none" w:sz="0" w:space="0" w:color="auto"/>
      </w:divBdr>
    </w:div>
    <w:div w:id="197416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948</Words>
  <Characters>5444</Characters>
  <Application>Microsoft Office Word</Application>
  <DocSecurity>0</DocSecurity>
  <Lines>86</Lines>
  <Paragraphs>15</Paragraphs>
  <ScaleCrop>false</ScaleCrop>
  <HeadingPairs>
    <vt:vector size="2" baseType="variant">
      <vt:variant>
        <vt:lpstr>Title</vt:lpstr>
      </vt:variant>
      <vt:variant>
        <vt:i4>1</vt:i4>
      </vt:variant>
    </vt:vector>
  </HeadingPairs>
  <TitlesOfParts>
    <vt:vector size="1" baseType="lpstr">
      <vt:lpstr/>
    </vt:vector>
  </TitlesOfParts>
  <Company>DFO MPO</Company>
  <LinksUpToDate>false</LinksUpToDate>
  <CharactersWithSpaces>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Sutherland, Justine (she, her / elle, la) (DFO/MPO)</dc:creator>
  <cp:keywords/>
  <dc:description/>
  <cp:lastModifiedBy>Sutherland, Justine (she, her / elle, la) (DFO/MPO)</cp:lastModifiedBy>
  <cp:revision>5</cp:revision>
  <dcterms:created xsi:type="dcterms:W3CDTF">2026-07-02T13:13:00Z</dcterms:created>
  <dcterms:modified xsi:type="dcterms:W3CDTF">2026-07-09T13:20:00Z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15b4e40a,2de4aad6,3912f44</vt:lpwstr>
  </property>
  <property fmtid="{D5CDD505-2E9C-101B-9397-08002B2CF9AE}" pid="3" name="ClassificationContentMarkingHeaderFontProps">
    <vt:lpwstr>#000000,12,Calibri</vt:lpwstr>
  </property>
  <property fmtid="{D5CDD505-2E9C-101B-9397-08002B2CF9AE}" pid="4" name="ClassificationContentMarkingHeaderText">
    <vt:lpwstr>Unclassified - Non-Classifié</vt:lpwstr>
  </property>
  <property fmtid="{D5CDD505-2E9C-101B-9397-08002B2CF9AE}" pid="5" name="MSIP_Label_4e6cdb53-fd15-486d-84de-c510e3a62203_Enabled">
    <vt:lpwstr>true</vt:lpwstr>
  </property>
  <property fmtid="{D5CDD505-2E9C-101B-9397-08002B2CF9AE}" pid="6" name="MSIP_Label_4e6cdb53-fd15-486d-84de-c510e3a62203_SetDate">
    <vt:lpwstr>2026-06-19T17:51:22Z</vt:lpwstr>
  </property>
  <property fmtid="{D5CDD505-2E9C-101B-9397-08002B2CF9AE}" pid="7" name="MSIP_Label_4e6cdb53-fd15-486d-84de-c510e3a62203_Method">
    <vt:lpwstr>Standard</vt:lpwstr>
  </property>
  <property fmtid="{D5CDD505-2E9C-101B-9397-08002B2CF9AE}" pid="8" name="MSIP_Label_4e6cdb53-fd15-486d-84de-c510e3a62203_Name">
    <vt:lpwstr>UNCLASSIFIED - NON-CLASSIFIÉ</vt:lpwstr>
  </property>
  <property fmtid="{D5CDD505-2E9C-101B-9397-08002B2CF9AE}" pid="9" name="MSIP_Label_4e6cdb53-fd15-486d-84de-c510e3a62203_SiteId">
    <vt:lpwstr>1594fdae-a1d9-4405-915d-011467234338</vt:lpwstr>
  </property>
  <property fmtid="{D5CDD505-2E9C-101B-9397-08002B2CF9AE}" pid="10" name="MSIP_Label_4e6cdb53-fd15-486d-84de-c510e3a62203_ActionId">
    <vt:lpwstr>2d6c9779-0338-4728-9b3e-3df69a32ce91</vt:lpwstr>
  </property>
  <property fmtid="{D5CDD505-2E9C-101B-9397-08002B2CF9AE}" pid="11" name="MSIP_Label_4e6cdb53-fd15-486d-84de-c510e3a62203_ContentBits">
    <vt:lpwstr>1</vt:lpwstr>
  </property>
  <property fmtid="{D5CDD505-2E9C-101B-9397-08002B2CF9AE}" pid="12" name="MSIP_Label_4e6cdb53-fd15-486d-84de-c510e3a62203_Tag">
    <vt:lpwstr>10, 3, 0, 1</vt:lpwstr>
  </property>
</Properties>
</file>