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1C4453" w14:textId="77777777" w:rsidR="00DC3496" w:rsidRPr="00DC3496" w:rsidRDefault="00DC3496" w:rsidP="00DC3496">
      <w:pPr>
        <w:rPr>
          <w:lang w:val="fr-FR"/>
        </w:rPr>
      </w:pPr>
      <w:r w:rsidRPr="00DC3496">
        <w:rPr>
          <w:lang w:val="fr-FR"/>
        </w:rPr>
        <w:t xml:space="preserve">L'introduction d'espèces non indigènes (ENI) est l'une des principales causes de la perte de biodiversité à l'échelle mondiale. Le rejet d'eau de ballast par les navires est la principale voie d'introduction de ces espèces dans les milieux aquatiques partout dans le monde [1]. Les activités maritimes ont fortement augmenté dans l'Arctique canadien en raison des changements climatiques et de l'intensification de l'exploitation des ressources naturelles [2]. Le détroit de Milne </w:t>
      </w:r>
      <w:proofErr w:type="spellStart"/>
      <w:r w:rsidRPr="00DC3496">
        <w:rPr>
          <w:lang w:val="fr-FR"/>
        </w:rPr>
        <w:t>Inlet</w:t>
      </w:r>
      <w:proofErr w:type="spellEnd"/>
      <w:r w:rsidRPr="00DC3496">
        <w:rPr>
          <w:lang w:val="fr-FR"/>
        </w:rPr>
        <w:t xml:space="preserve"> a connu la plus forte hausse du trafic maritime en raison de l'exportation de minerai de fer brut [3,4]. Le rejet d'eau de ballast dans cette région auparavant peu développée entraîne un risque d'introduction d'espèces non indigènes, ce qui pourrait avoir des répercussions sur les espèces et habitats marins sensibles de l'Arctique (par exemple, les zones importantes pour l'alimentation et la reproduction du narval et de la baleine boréale, les colonies d'oiseaux et l'omble chevalier). Cela pourrait également avoir des conséquences sur la sécurité alimentaire et le bien-être des communautés locales, ainsi que des effets plus étendus si ces espèces s'établissent et se propagent à d'autres régions de l'Arctique.</w:t>
      </w:r>
    </w:p>
    <w:p w14:paraId="0F75E32C" w14:textId="77777777" w:rsidR="00DC3496" w:rsidRPr="00DC3496" w:rsidRDefault="00DC3496" w:rsidP="00DC3496">
      <w:pPr>
        <w:rPr>
          <w:lang w:val="fr-FR"/>
        </w:rPr>
      </w:pPr>
      <w:r w:rsidRPr="00DC3496">
        <w:rPr>
          <w:lang w:val="fr-FR"/>
        </w:rPr>
        <w:t>De récentes modifications réglementaires exigent maintenant que les navires soient équipés de systèmes de gestion de l'eau de ballast (par exemple par chloration ou traitement aux rayons UV) afin de traiter l'eau avant son rejet. Toutefois, leur efficacité dans les conditions arctiques demeure incertaine. Des études menées dans le sud du Canada ont montré qu'environ la moitié des navires échantillonnés dépassaient les normes internationales de traitement (règlement D-2 [5]), contenant entre 10 et plusieurs milliers d'organismes par mètre cube d'eau de ballast [6,7,8], y compris des espèces non indigènes pouvant s'établir au Canada [7,8]. Comme les températures froides ralentissent souvent les réactions chimiques, l'efficacité des systèmes de traitement pourrait être réduite lors des voyages vers l'Arctique comparativement aux voyages vers les ports du sud du Canada [8]. De plus, les organismes qui survivent au traitement pourraient être particulièrement résistants et donc plus susceptibles de s'établir dans les environnements arctiques [9].</w:t>
      </w:r>
    </w:p>
    <w:p w14:paraId="3898B93F" w14:textId="3E2F6950" w:rsidR="00DC3496" w:rsidRPr="00DC3496" w:rsidRDefault="00DC3496" w:rsidP="00DC3496">
      <w:pPr>
        <w:rPr>
          <w:lang w:val="fr-FR"/>
        </w:rPr>
      </w:pPr>
      <w:r w:rsidRPr="00DC3496">
        <w:rPr>
          <w:lang w:val="fr-FR"/>
        </w:rPr>
        <w:t>Ce projet vise à évaluer le nombre et les types d'organismes présents dans l'eau de ballast rejetée par les navires, ainsi que l'efficacité des systèmes de traitement installés à bord des navires se rendant dans l'Arctique. L'objectif est de mieux comprendre le risque potentiel d'introduction d'espèces non indigènes dans les conditions propres à l'Arctique. Le projet évaluera également la faisabilité des méthodes d'échantillonnage et d'analyse de l'eau de ballast afin qu'elles puissent éventuellement être utilisées par les membres et les organisations des communautés</w:t>
      </w:r>
      <w:r>
        <w:rPr>
          <w:lang w:val="fr-FR"/>
        </w:rPr>
        <w:t xml:space="preserve"> Inuit</w:t>
      </w:r>
      <w:r w:rsidRPr="00DC3496">
        <w:rPr>
          <w:lang w:val="fr-FR"/>
        </w:rPr>
        <w:t xml:space="preserve"> pour de futurs programmes de surveillance.</w:t>
      </w:r>
    </w:p>
    <w:p w14:paraId="56076A72" w14:textId="6D7F841D" w:rsidR="00DC3496" w:rsidRPr="00DC3496" w:rsidRDefault="00DC3496" w:rsidP="00DC3496">
      <w:pPr>
        <w:rPr>
          <w:lang w:val="fr-FR"/>
        </w:rPr>
      </w:pPr>
      <w:r w:rsidRPr="00DC3496">
        <w:rPr>
          <w:lang w:val="fr-FR"/>
        </w:rPr>
        <w:t xml:space="preserve">En 2026 et 2027, nous proposons de réaliser des échantillonnages pendant une période pouvant aller jusqu'à huit semaines durant la saison de navigation (la durée dépendra des </w:t>
      </w:r>
      <w:r w:rsidRPr="00DC3496">
        <w:rPr>
          <w:lang w:val="fr-FR"/>
        </w:rPr>
        <w:lastRenderedPageBreak/>
        <w:t xml:space="preserve">ressources et de la capacité disponibles à Milne </w:t>
      </w:r>
      <w:proofErr w:type="spellStart"/>
      <w:r w:rsidRPr="00DC3496">
        <w:rPr>
          <w:lang w:val="fr-FR"/>
        </w:rPr>
        <w:t>Inlet</w:t>
      </w:r>
      <w:proofErr w:type="spellEnd"/>
      <w:r w:rsidRPr="00DC3496">
        <w:rPr>
          <w:lang w:val="fr-FR"/>
        </w:rPr>
        <w:t>). Au total, jusqu'à environ 64 à 80 navires pourraient être échantillonnés pendant le programme de surveillance</w:t>
      </w:r>
      <w:r>
        <w:rPr>
          <w:lang w:val="fr-FR"/>
        </w:rPr>
        <w:t xml:space="preserve"> pilote</w:t>
      </w:r>
      <w:r w:rsidRPr="00DC3496">
        <w:rPr>
          <w:lang w:val="fr-FR"/>
        </w:rPr>
        <w:t>. L'échantillonnage nécessitera une équipe de quatre à cinq personnes qui travailleront en collaboration avec l'équipage des navires afin de raccorder l'équipement au point d'échantillonnage approprié à bord.</w:t>
      </w:r>
    </w:p>
    <w:p w14:paraId="758B78F8" w14:textId="4FFC33F0" w:rsidR="00DC3496" w:rsidRPr="00DC3496" w:rsidRDefault="00DC3496" w:rsidP="00DC3496">
      <w:pPr>
        <w:rPr>
          <w:lang w:val="fr-FR"/>
        </w:rPr>
      </w:pPr>
      <w:r w:rsidRPr="00DC3496">
        <w:rPr>
          <w:lang w:val="fr-FR"/>
        </w:rPr>
        <w:t>L'échantillonnage comprendra l'utilisation de l'outil Ballast Catch pour filtrer au moins 1000 litres d'eau de ballast et recueillir les organismes de grande taille (≥ 50 µm). Des échantillons d'eau non filtrée seront également prélevés pour l'analyse des organismes de petite taille (≥ 10 µm et ≤ 10 µm). En plus des échantillons de grande et de petite taille, plusieurs paramètres de qualité de l'eau seront mesurés, notamment la température, le pH et la salinité. Les concentrations résiduelles de chlore seront également évaluées afin de vérifier que le chlore utilisé pour éliminer les organismes vivants a été correctement neutralisé. Des échantillons d'ADN et d'ARN environnementaux (ADNe/</w:t>
      </w:r>
      <w:proofErr w:type="spellStart"/>
      <w:r w:rsidRPr="00DC3496">
        <w:rPr>
          <w:lang w:val="fr-FR"/>
        </w:rPr>
        <w:t>ARNe</w:t>
      </w:r>
      <w:proofErr w:type="spellEnd"/>
      <w:r w:rsidRPr="00DC3496">
        <w:rPr>
          <w:lang w:val="fr-FR"/>
        </w:rPr>
        <w:t>) seront aussi recueillis pour permettre, à une étape ultérieure, l'identification des organismes présents dans l'eau de ballast à l'aide de différentes techniques d'analyse génétique.</w:t>
      </w:r>
    </w:p>
    <w:p w14:paraId="02ACAEF8" w14:textId="77777777" w:rsidR="00DC3496" w:rsidRPr="00DC3496" w:rsidRDefault="00DC3496" w:rsidP="00DC3496">
      <w:pPr>
        <w:rPr>
          <w:lang w:val="fr-FR"/>
        </w:rPr>
      </w:pPr>
      <w:r w:rsidRPr="00DC3496">
        <w:rPr>
          <w:lang w:val="fr-FR"/>
        </w:rPr>
        <w:t xml:space="preserve">Le traitement des échantillons se fera sur place, au port de Milne </w:t>
      </w:r>
      <w:proofErr w:type="spellStart"/>
      <w:r w:rsidRPr="00DC3496">
        <w:rPr>
          <w:lang w:val="fr-FR"/>
        </w:rPr>
        <w:t>Inlet</w:t>
      </w:r>
      <w:proofErr w:type="spellEnd"/>
      <w:r w:rsidRPr="00DC3496">
        <w:rPr>
          <w:lang w:val="fr-FR"/>
        </w:rPr>
        <w:t>. Un outil de dépistage rapide (Ballast Eye) sera utilisé pour compter le nombre d'organismes vivants présents dans les échantillons d'eau de ballast et pour évaluer le respect des normes de gestion de l'eau de ballast prévues par le règlement D-2. Une partie de tous les échantillons recueillis sera conservée afin de permettre l'identification détaillée des organismes à l'aide de méthodes basées sur leur apparence et leur matériel génétique.</w:t>
      </w:r>
    </w:p>
    <w:p w14:paraId="35C110B9" w14:textId="77777777" w:rsidR="00DC3496" w:rsidRDefault="00DC3496" w:rsidP="00DC3496">
      <w:pPr>
        <w:rPr>
          <w:lang w:val="fr-FR"/>
        </w:rPr>
      </w:pPr>
      <w:r w:rsidRPr="00DC3496">
        <w:rPr>
          <w:lang w:val="fr-FR"/>
        </w:rPr>
        <w:t xml:space="preserve">Chaque année, nous organiserons un atelier de formation auquel participeront des jeunes Inuit de Pond </w:t>
      </w:r>
      <w:proofErr w:type="spellStart"/>
      <w:r w:rsidRPr="00DC3496">
        <w:rPr>
          <w:lang w:val="fr-FR"/>
        </w:rPr>
        <w:t>Inlet</w:t>
      </w:r>
      <w:proofErr w:type="spellEnd"/>
      <w:r w:rsidRPr="00DC3496">
        <w:rPr>
          <w:lang w:val="fr-FR"/>
        </w:rPr>
        <w:t xml:space="preserve">, d'Igloolik et de </w:t>
      </w:r>
      <w:proofErr w:type="spellStart"/>
      <w:r w:rsidRPr="00DC3496">
        <w:rPr>
          <w:lang w:val="fr-FR"/>
        </w:rPr>
        <w:t>Sanirajak</w:t>
      </w:r>
      <w:proofErr w:type="spellEnd"/>
      <w:r w:rsidRPr="00DC3496">
        <w:rPr>
          <w:lang w:val="fr-FR"/>
        </w:rPr>
        <w:t xml:space="preserve"> (Hall Beach) impliqués dans le projet. Ils apprendront à utiliser l'équipement d'échantillonnage ainsi que les principales mesures de sécurité à respecter lors du travail à bord des navires et dans les ports industriels. Un deuxième atelier aura lieu à l'automne afin que les jeunes participants puissent faire part de leurs commentaires sur la saison d'échantillonnage et mener des activités de sensibilisation dans leurs communautés respectives, avec l'appui de Pêches et Océans Canada (MPO), pour partager les connaissances acquises dans le cadre du projet et discuter des questions ou préoccupations des membres de la communauté. Un troisième atelier se tiendra durant l'hiver. Avec le soutien du MPO, les jeunes Inuit y analyseront les données recueillies pendant chaque saison de terrain à l'aide d'outils de cartographie et d'analyse de données.</w:t>
      </w:r>
    </w:p>
    <w:p w14:paraId="69BB6441" w14:textId="77777777" w:rsidR="00DC3496" w:rsidRPr="00DC3496" w:rsidRDefault="00DC3496" w:rsidP="00DC3496">
      <w:pPr>
        <w:rPr>
          <w:lang w:val="fr-FR"/>
        </w:rPr>
      </w:pPr>
    </w:p>
    <w:p w14:paraId="3A75E8F0" w14:textId="77777777" w:rsidR="00DC3496" w:rsidRPr="00DC3496" w:rsidRDefault="00DC3496" w:rsidP="00DC3496">
      <w:pPr>
        <w:numPr>
          <w:ilvl w:val="0"/>
          <w:numId w:val="1"/>
        </w:numPr>
      </w:pPr>
      <w:r w:rsidRPr="00DC3496">
        <w:lastRenderedPageBreak/>
        <w:t>Bailey, S.A., Brown, L., Campbell, M.L., Canning-</w:t>
      </w:r>
      <w:proofErr w:type="spellStart"/>
      <w:r w:rsidRPr="00DC3496">
        <w:t>Clode</w:t>
      </w:r>
      <w:proofErr w:type="spellEnd"/>
      <w:r w:rsidRPr="00DC3496">
        <w:t xml:space="preserve">, J., Carlton, J.T., ... Zhan, A. 2020. Trends in the detection of aquatic non-indigenous species across global marine, estuarine and freshwater ecosystems: A 50-year perspective. Diversity and Distributions 26: 1780-1797. </w:t>
      </w:r>
    </w:p>
    <w:p w14:paraId="587603AC" w14:textId="77777777" w:rsidR="00DC3496" w:rsidRPr="00DC3496" w:rsidRDefault="00DC3496" w:rsidP="00DC3496">
      <w:pPr>
        <w:numPr>
          <w:ilvl w:val="0"/>
          <w:numId w:val="1"/>
        </w:numPr>
      </w:pPr>
      <w:r w:rsidRPr="00DC3496">
        <w:t>Dawson, J., Pizzolato, L., Howell, S. E. L., Copland, L., &amp; Johnston, M. E. 2018. Temporal and spatial patterns of ship traffic in the Canadian Arctic from 1990 to 2015. Arctic 71:15-26.</w:t>
      </w:r>
    </w:p>
    <w:p w14:paraId="4277B813" w14:textId="77777777" w:rsidR="00DC3496" w:rsidRPr="00DC3496" w:rsidRDefault="00DC3496" w:rsidP="00DC3496">
      <w:pPr>
        <w:numPr>
          <w:ilvl w:val="0"/>
          <w:numId w:val="1"/>
        </w:numPr>
      </w:pPr>
      <w:proofErr w:type="spellStart"/>
      <w:r w:rsidRPr="00DC3496">
        <w:t>Kammermans</w:t>
      </w:r>
      <w:proofErr w:type="spellEnd"/>
      <w:r w:rsidRPr="00DC3496">
        <w:t xml:space="preserve"> 2023. 2023 NIRB Annual Report: Baffinland Iron Mines 2023 Annual Report to the Nunavut Impact Review Board. 641 p. 2023-NIRB-Annual-Report.pdf (Baffinland.com) </w:t>
      </w:r>
    </w:p>
    <w:p w14:paraId="05DD7B89" w14:textId="77777777" w:rsidR="00DC3496" w:rsidRPr="00DC3496" w:rsidRDefault="00DC3496" w:rsidP="00DC3496">
      <w:pPr>
        <w:numPr>
          <w:ilvl w:val="0"/>
          <w:numId w:val="1"/>
        </w:numPr>
      </w:pPr>
      <w:proofErr w:type="spellStart"/>
      <w:r w:rsidRPr="00DC3496">
        <w:t>Goldsmit</w:t>
      </w:r>
      <w:proofErr w:type="spellEnd"/>
      <w:r w:rsidRPr="00DC3496">
        <w:t>, J., McKindsey, C.W., Schlegel, R.W., Stewart, D.B., Archambault, P. and Howland, K.L. 2020. What and where? Predicting invasion hotspots in the Arctic marine realm. Global Change Biology 26: 4752-4771</w:t>
      </w:r>
    </w:p>
    <w:p w14:paraId="1CD8E6F3" w14:textId="77777777" w:rsidR="00DC3496" w:rsidRPr="00DC3496" w:rsidRDefault="00DC3496" w:rsidP="00DC3496">
      <w:pPr>
        <w:numPr>
          <w:ilvl w:val="0"/>
          <w:numId w:val="1"/>
        </w:numPr>
        <w:rPr>
          <w:u w:val="single"/>
        </w:rPr>
      </w:pPr>
      <w:r w:rsidRPr="00DC3496">
        <w:rPr>
          <w:u w:val="single"/>
        </w:rPr>
        <w:t>https://www.imo.org/en/About/Conventions/Pages/International-Convention-for-the-Control-and-Management-of-Ships%27-Ballast-Water-and-Sediments-(BWM).aspx</w:t>
      </w:r>
    </w:p>
    <w:p w14:paraId="4820CA40" w14:textId="77777777" w:rsidR="00DC3496" w:rsidRPr="00DC3496" w:rsidRDefault="00DC3496" w:rsidP="00DC3496">
      <w:pPr>
        <w:numPr>
          <w:ilvl w:val="0"/>
          <w:numId w:val="1"/>
        </w:numPr>
      </w:pPr>
      <w:proofErr w:type="spellStart"/>
      <w:r w:rsidRPr="00DC3496">
        <w:t>Outinen</w:t>
      </w:r>
      <w:proofErr w:type="spellEnd"/>
      <w:r w:rsidRPr="00DC3496">
        <w:t xml:space="preserve">, O., Bailey, S.A., Casas-Monroy, O., Delacroix, S, </w:t>
      </w:r>
      <w:proofErr w:type="spellStart"/>
      <w:r w:rsidRPr="00DC3496">
        <w:t>Gorgula</w:t>
      </w:r>
      <w:proofErr w:type="spellEnd"/>
      <w:r w:rsidRPr="00DC3496">
        <w:t xml:space="preserve">, S., </w:t>
      </w:r>
      <w:proofErr w:type="spellStart"/>
      <w:r w:rsidRPr="00DC3496">
        <w:t>Griniene</w:t>
      </w:r>
      <w:proofErr w:type="spellEnd"/>
      <w:r w:rsidRPr="00DC3496">
        <w:t xml:space="preserve">, E., </w:t>
      </w:r>
      <w:proofErr w:type="spellStart"/>
      <w:r w:rsidRPr="00DC3496">
        <w:t>Kakkonen</w:t>
      </w:r>
      <w:proofErr w:type="spellEnd"/>
      <w:r w:rsidRPr="00DC3496">
        <w:t xml:space="preserve">, J.E., and </w:t>
      </w:r>
      <w:proofErr w:type="spellStart"/>
      <w:r w:rsidRPr="00DC3496">
        <w:t>Srebaliene</w:t>
      </w:r>
      <w:proofErr w:type="spellEnd"/>
      <w:r w:rsidRPr="00DC3496">
        <w:t xml:space="preserve">, G. 2024. Biological testing of ships’ ballast water indicates challenges for the implementation of the Ballast Water Management Convention. Front. Mar. Sci. 11:1334286. </w:t>
      </w:r>
    </w:p>
    <w:p w14:paraId="2CFBC827" w14:textId="77777777" w:rsidR="00DC3496" w:rsidRPr="00DC3496" w:rsidRDefault="00DC3496" w:rsidP="00DC3496">
      <w:pPr>
        <w:numPr>
          <w:ilvl w:val="0"/>
          <w:numId w:val="1"/>
        </w:numPr>
      </w:pPr>
      <w:r w:rsidRPr="00DC3496">
        <w:t>Bailey, S.A., Brydges, T., Casas-Monroy, O., Kydd, J., Linley, R.D., Rozon, R.M. and Darling, J. 2022. First evaluation of ballast water management systems on operational ships for minimizing introductions of nonindigenous zooplankton. Marine Pollution Bulletin 182: 113947.</w:t>
      </w:r>
    </w:p>
    <w:p w14:paraId="75911B42" w14:textId="77777777" w:rsidR="00DC3496" w:rsidRDefault="00DC3496" w:rsidP="00DC3496">
      <w:pPr>
        <w:numPr>
          <w:ilvl w:val="0"/>
          <w:numId w:val="1"/>
        </w:numPr>
      </w:pPr>
      <w:r w:rsidRPr="00DC3496">
        <w:t>Bailey S.A., Casas-Monroy, O., Kydd, J., Ogilvie, D., Rozon, R. and Yardley, S. 2023. Efficacy of ballast water management systems operating within the Great Lakes and St. Lawrence River (2017-2022). Canadian Data Report of Fisheries and Aquatic Sciences 1376: vii + 24</w:t>
      </w:r>
    </w:p>
    <w:p w14:paraId="64BB15D0" w14:textId="7184251F" w:rsidR="00247071" w:rsidRPr="00DC3496" w:rsidRDefault="00DC3496" w:rsidP="00DC3496">
      <w:pPr>
        <w:numPr>
          <w:ilvl w:val="0"/>
          <w:numId w:val="1"/>
        </w:numPr>
      </w:pPr>
      <w:r w:rsidRPr="00DC3496">
        <w:t xml:space="preserve">Briski E, Chan F, Darling J, </w:t>
      </w:r>
      <w:proofErr w:type="spellStart"/>
      <w:r w:rsidRPr="00DC3496">
        <w:t>Lauringson</w:t>
      </w:r>
      <w:proofErr w:type="spellEnd"/>
      <w:r w:rsidRPr="00DC3496">
        <w:t xml:space="preserve"> V, MacIsaac H, Zhan A and SA Bailey. 2018. Beyond propagule pressure: importance of selection during the transport stage of biological invasion. Frontiers in Ecology and the Environment 16: 345-353.</w:t>
      </w:r>
    </w:p>
    <w:sectPr w:rsidR="00247071" w:rsidRPr="00DC3496">
      <w:headerReference w:type="even" r:id="rId7"/>
      <w:headerReference w:type="firs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29974B" w14:textId="77777777" w:rsidR="00236D6E" w:rsidRDefault="00236D6E" w:rsidP="00DC3496">
      <w:pPr>
        <w:spacing w:after="0" w:line="240" w:lineRule="auto"/>
      </w:pPr>
      <w:r>
        <w:separator/>
      </w:r>
    </w:p>
  </w:endnote>
  <w:endnote w:type="continuationSeparator" w:id="0">
    <w:p w14:paraId="3133C47E" w14:textId="77777777" w:rsidR="00236D6E" w:rsidRDefault="00236D6E" w:rsidP="00DC34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780E64" w14:textId="77777777" w:rsidR="00236D6E" w:rsidRDefault="00236D6E" w:rsidP="00DC3496">
      <w:pPr>
        <w:spacing w:after="0" w:line="240" w:lineRule="auto"/>
      </w:pPr>
      <w:r>
        <w:separator/>
      </w:r>
    </w:p>
  </w:footnote>
  <w:footnote w:type="continuationSeparator" w:id="0">
    <w:p w14:paraId="69288F54" w14:textId="77777777" w:rsidR="00236D6E" w:rsidRDefault="00236D6E" w:rsidP="00DC349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191217" w14:textId="4EA38AC8" w:rsidR="00DC3496" w:rsidRDefault="00DC3496">
    <w:pPr>
      <w:pStyle w:val="Header"/>
    </w:pPr>
    <w:r>
      <w:rPr>
        <w:noProof/>
      </w:rPr>
      <mc:AlternateContent>
        <mc:Choice Requires="wps">
          <w:drawing>
            <wp:anchor distT="0" distB="0" distL="0" distR="0" simplePos="0" relativeHeight="251659264" behindDoc="0" locked="0" layoutInCell="1" allowOverlap="1" wp14:anchorId="730FFEAF" wp14:editId="21D5B4AB">
              <wp:simplePos x="635" y="635"/>
              <wp:positionH relativeFrom="page">
                <wp:align>right</wp:align>
              </wp:positionH>
              <wp:positionV relativeFrom="page">
                <wp:align>top</wp:align>
              </wp:positionV>
              <wp:extent cx="2085340" cy="405765"/>
              <wp:effectExtent l="0" t="0" r="0" b="13335"/>
              <wp:wrapNone/>
              <wp:docPr id="2136916069" name="Text Box 2" descr="Unclassified - Non-Classifié">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2085340" cy="405765"/>
                      </a:xfrm>
                      <a:prstGeom prst="rect">
                        <a:avLst/>
                      </a:prstGeom>
                      <a:noFill/>
                      <a:ln>
                        <a:noFill/>
                      </a:ln>
                    </wps:spPr>
                    <wps:txbx>
                      <w:txbxContent>
                        <w:p w14:paraId="45BD9566" w14:textId="15194180" w:rsidR="00DC3496" w:rsidRPr="00DC3496" w:rsidRDefault="00DC3496" w:rsidP="00DC3496">
                          <w:pPr>
                            <w:spacing w:after="0"/>
                            <w:rPr>
                              <w:rFonts w:ascii="Aptos" w:eastAsia="Aptos" w:hAnsi="Aptos" w:cs="Aptos"/>
                              <w:noProof/>
                              <w:color w:val="000000"/>
                            </w:rPr>
                          </w:pPr>
                          <w:r w:rsidRPr="00DC3496">
                            <w:rPr>
                              <w:rFonts w:ascii="Aptos" w:eastAsia="Aptos" w:hAnsi="Aptos" w:cs="Aptos"/>
                              <w:noProof/>
                              <w:color w:val="000000"/>
                            </w:rPr>
                            <w:t>Unclassified - Non-Classifié</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730FFEAF" id="_x0000_t202" coordsize="21600,21600" o:spt="202" path="m,l,21600r21600,l21600,xe">
              <v:stroke joinstyle="miter"/>
              <v:path gradientshapeok="t" o:connecttype="rect"/>
            </v:shapetype>
            <v:shape id="Text Box 2" o:spid="_x0000_s1026" type="#_x0000_t202" alt="Unclassified - Non-Classifié" style="position:absolute;margin-left:124.2pt;margin-top:0;width:164.2pt;height:31.95pt;z-index:251659264;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" filled="f" stroked="f">
              <v:fill o:detectmouseclick="t"/>
              <v:textbox style="mso-fit-shape-to-text:t" inset="0,15pt,20pt,0">
                <w:txbxContent>
                  <w:p w14:paraId="45BD9566" w14:textId="15194180" w:rsidR="00DC3496" w:rsidRPr="00DC3496" w:rsidRDefault="00DC3496" w:rsidP="00DC3496">
                    <w:pPr>
                      <w:spacing w:after="0"/>
                      <w:rPr>
                        <w:rFonts w:ascii="Aptos" w:eastAsia="Aptos" w:hAnsi="Aptos" w:cs="Aptos"/>
                        <w:noProof/>
                        <w:color w:val="000000"/>
                      </w:rPr>
                    </w:pPr>
                    <w:r w:rsidRPr="00DC3496">
                      <w:rPr>
                        <w:rFonts w:ascii="Aptos" w:eastAsia="Aptos" w:hAnsi="Aptos" w:cs="Aptos"/>
                        <w:noProof/>
                        <w:color w:val="000000"/>
                      </w:rPr>
                      <w:t>Unclassified - Non-Classifié</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0D3FDB" w14:textId="3927285B" w:rsidR="00DC3496" w:rsidRDefault="00DC3496">
    <w:pPr>
      <w:pStyle w:val="Header"/>
    </w:pPr>
    <w:r>
      <w:rPr>
        <w:noProof/>
      </w:rPr>
      <mc:AlternateContent>
        <mc:Choice Requires="wps">
          <w:drawing>
            <wp:anchor distT="0" distB="0" distL="0" distR="0" simplePos="0" relativeHeight="251658240" behindDoc="0" locked="0" layoutInCell="1" allowOverlap="1" wp14:anchorId="2E440FB0" wp14:editId="46A1B00F">
              <wp:simplePos x="635" y="635"/>
              <wp:positionH relativeFrom="page">
                <wp:align>right</wp:align>
              </wp:positionH>
              <wp:positionV relativeFrom="page">
                <wp:align>top</wp:align>
              </wp:positionV>
              <wp:extent cx="2085340" cy="405765"/>
              <wp:effectExtent l="0" t="0" r="0" b="13335"/>
              <wp:wrapNone/>
              <wp:docPr id="1416890782" name="Text Box 1" descr="Unclassified - Non-Classifié">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2085340" cy="405765"/>
                      </a:xfrm>
                      <a:prstGeom prst="rect">
                        <a:avLst/>
                      </a:prstGeom>
                      <a:noFill/>
                      <a:ln>
                        <a:noFill/>
                      </a:ln>
                    </wps:spPr>
                    <wps:txbx>
                      <w:txbxContent>
                        <w:p w14:paraId="0DD4214B" w14:textId="1E0DFD9C" w:rsidR="00DC3496" w:rsidRPr="00DC3496" w:rsidRDefault="00DC3496" w:rsidP="00DC3496">
                          <w:pPr>
                            <w:spacing w:after="0"/>
                            <w:rPr>
                              <w:rFonts w:ascii="Aptos" w:eastAsia="Aptos" w:hAnsi="Aptos" w:cs="Aptos"/>
                              <w:noProof/>
                              <w:color w:val="000000"/>
                            </w:rPr>
                          </w:pPr>
                          <w:r w:rsidRPr="00DC3496">
                            <w:rPr>
                              <w:rFonts w:ascii="Aptos" w:eastAsia="Aptos" w:hAnsi="Aptos" w:cs="Aptos"/>
                              <w:noProof/>
                              <w:color w:val="000000"/>
                            </w:rPr>
                            <w:t>Unclassified - Non-Classifié</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2E440FB0" id="_x0000_t202" coordsize="21600,21600" o:spt="202" path="m,l,21600r21600,l21600,xe">
              <v:stroke joinstyle="miter"/>
              <v:path gradientshapeok="t" o:connecttype="rect"/>
            </v:shapetype>
            <v:shape id="Text Box 1" o:spid="_x0000_s1027" type="#_x0000_t202" alt="Unclassified - Non-Classifié" style="position:absolute;margin-left:124.2pt;margin-top:0;width:164.2pt;height:31.95pt;z-index:251658240;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" filled="f" stroked="f">
              <v:fill o:detectmouseclick="t"/>
              <v:textbox style="mso-fit-shape-to-text:t" inset="0,15pt,20pt,0">
                <w:txbxContent>
                  <w:p w14:paraId="0DD4214B" w14:textId="1E0DFD9C" w:rsidR="00DC3496" w:rsidRPr="00DC3496" w:rsidRDefault="00DC3496" w:rsidP="00DC3496">
                    <w:pPr>
                      <w:spacing w:after="0"/>
                      <w:rPr>
                        <w:rFonts w:ascii="Aptos" w:eastAsia="Aptos" w:hAnsi="Aptos" w:cs="Aptos"/>
                        <w:noProof/>
                        <w:color w:val="000000"/>
                      </w:rPr>
                    </w:pPr>
                    <w:r w:rsidRPr="00DC3496">
                      <w:rPr>
                        <w:rFonts w:ascii="Aptos" w:eastAsia="Aptos" w:hAnsi="Aptos" w:cs="Aptos"/>
                        <w:noProof/>
                        <w:color w:val="000000"/>
                      </w:rPr>
                      <w:t>Unclassified - Non-Classifié</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648856"/>
    <w:multiLevelType w:val="hybridMultilevel"/>
    <w:tmpl w:val="FFFFFFFF"/>
    <w:lvl w:ilvl="0" w:tplc="508C9C54">
      <w:start w:val="1"/>
      <w:numFmt w:val="decimal"/>
      <w:lvlText w:val="%1."/>
      <w:lvlJc w:val="left"/>
      <w:pPr>
        <w:ind w:left="360" w:hanging="360"/>
      </w:pPr>
    </w:lvl>
    <w:lvl w:ilvl="1" w:tplc="E522E1C2">
      <w:start w:val="1"/>
      <w:numFmt w:val="lowerLetter"/>
      <w:lvlText w:val="%2."/>
      <w:lvlJc w:val="left"/>
      <w:pPr>
        <w:ind w:left="1440" w:hanging="360"/>
      </w:pPr>
    </w:lvl>
    <w:lvl w:ilvl="2" w:tplc="58287410">
      <w:start w:val="1"/>
      <w:numFmt w:val="lowerRoman"/>
      <w:lvlText w:val="%3."/>
      <w:lvlJc w:val="right"/>
      <w:pPr>
        <w:ind w:left="2160" w:hanging="180"/>
      </w:pPr>
    </w:lvl>
    <w:lvl w:ilvl="3" w:tplc="F85A4316">
      <w:start w:val="1"/>
      <w:numFmt w:val="decimal"/>
      <w:lvlText w:val="%4."/>
      <w:lvlJc w:val="left"/>
      <w:pPr>
        <w:ind w:left="2880" w:hanging="360"/>
      </w:pPr>
    </w:lvl>
    <w:lvl w:ilvl="4" w:tplc="21564376">
      <w:start w:val="1"/>
      <w:numFmt w:val="lowerLetter"/>
      <w:lvlText w:val="%5."/>
      <w:lvlJc w:val="left"/>
      <w:pPr>
        <w:ind w:left="3600" w:hanging="360"/>
      </w:pPr>
    </w:lvl>
    <w:lvl w:ilvl="5" w:tplc="67A22BAA">
      <w:start w:val="1"/>
      <w:numFmt w:val="lowerRoman"/>
      <w:lvlText w:val="%6."/>
      <w:lvlJc w:val="right"/>
      <w:pPr>
        <w:ind w:left="4320" w:hanging="180"/>
      </w:pPr>
    </w:lvl>
    <w:lvl w:ilvl="6" w:tplc="755A8D96">
      <w:start w:val="1"/>
      <w:numFmt w:val="decimal"/>
      <w:lvlText w:val="%7."/>
      <w:lvlJc w:val="left"/>
      <w:pPr>
        <w:ind w:left="5040" w:hanging="360"/>
      </w:pPr>
    </w:lvl>
    <w:lvl w:ilvl="7" w:tplc="523C38F2">
      <w:start w:val="1"/>
      <w:numFmt w:val="lowerLetter"/>
      <w:lvlText w:val="%8."/>
      <w:lvlJc w:val="left"/>
      <w:pPr>
        <w:ind w:left="5760" w:hanging="360"/>
      </w:pPr>
    </w:lvl>
    <w:lvl w:ilvl="8" w:tplc="0FA45214">
      <w:start w:val="1"/>
      <w:numFmt w:val="lowerRoman"/>
      <w:lvlText w:val="%9."/>
      <w:lvlJc w:val="right"/>
      <w:pPr>
        <w:ind w:left="6480" w:hanging="180"/>
      </w:pPr>
    </w:lvl>
  </w:abstractNum>
  <w:num w:numId="1" w16cid:durableId="129263497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3496"/>
    <w:rsid w:val="000E3338"/>
    <w:rsid w:val="00123A25"/>
    <w:rsid w:val="00236D6E"/>
    <w:rsid w:val="00247071"/>
    <w:rsid w:val="00247212"/>
    <w:rsid w:val="002C3404"/>
    <w:rsid w:val="005E7869"/>
    <w:rsid w:val="00771439"/>
    <w:rsid w:val="009864ED"/>
    <w:rsid w:val="00C354FE"/>
    <w:rsid w:val="00DC349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EE9405"/>
  <w15:chartTrackingRefBased/>
  <w15:docId w15:val="{441714FF-004F-4952-B1F4-871EC5C4AE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C349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C349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C349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C349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C349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C349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C349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C349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C349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C349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C349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C349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C349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C349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C349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C349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C349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C3496"/>
    <w:rPr>
      <w:rFonts w:eastAsiaTheme="majorEastAsia" w:cstheme="majorBidi"/>
      <w:color w:val="272727" w:themeColor="text1" w:themeTint="D8"/>
    </w:rPr>
  </w:style>
  <w:style w:type="paragraph" w:styleId="Title">
    <w:name w:val="Title"/>
    <w:basedOn w:val="Normal"/>
    <w:next w:val="Normal"/>
    <w:link w:val="TitleChar"/>
    <w:uiPriority w:val="10"/>
    <w:qFormat/>
    <w:rsid w:val="00DC349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C349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C349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C349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C3496"/>
    <w:pPr>
      <w:spacing w:before="160"/>
      <w:jc w:val="center"/>
    </w:pPr>
    <w:rPr>
      <w:i/>
      <w:iCs/>
      <w:color w:val="404040" w:themeColor="text1" w:themeTint="BF"/>
    </w:rPr>
  </w:style>
  <w:style w:type="character" w:customStyle="1" w:styleId="QuoteChar">
    <w:name w:val="Quote Char"/>
    <w:basedOn w:val="DefaultParagraphFont"/>
    <w:link w:val="Quote"/>
    <w:uiPriority w:val="29"/>
    <w:rsid w:val="00DC3496"/>
    <w:rPr>
      <w:i/>
      <w:iCs/>
      <w:color w:val="404040" w:themeColor="text1" w:themeTint="BF"/>
    </w:rPr>
  </w:style>
  <w:style w:type="paragraph" w:styleId="ListParagraph">
    <w:name w:val="List Paragraph"/>
    <w:basedOn w:val="Normal"/>
    <w:uiPriority w:val="34"/>
    <w:qFormat/>
    <w:rsid w:val="00DC3496"/>
    <w:pPr>
      <w:ind w:left="720"/>
      <w:contextualSpacing/>
    </w:pPr>
  </w:style>
  <w:style w:type="character" w:styleId="IntenseEmphasis">
    <w:name w:val="Intense Emphasis"/>
    <w:basedOn w:val="DefaultParagraphFont"/>
    <w:uiPriority w:val="21"/>
    <w:qFormat/>
    <w:rsid w:val="00DC3496"/>
    <w:rPr>
      <w:i/>
      <w:iCs/>
      <w:color w:val="0F4761" w:themeColor="accent1" w:themeShade="BF"/>
    </w:rPr>
  </w:style>
  <w:style w:type="paragraph" w:styleId="IntenseQuote">
    <w:name w:val="Intense Quote"/>
    <w:basedOn w:val="Normal"/>
    <w:next w:val="Normal"/>
    <w:link w:val="IntenseQuoteChar"/>
    <w:uiPriority w:val="30"/>
    <w:qFormat/>
    <w:rsid w:val="00DC349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C3496"/>
    <w:rPr>
      <w:i/>
      <w:iCs/>
      <w:color w:val="0F4761" w:themeColor="accent1" w:themeShade="BF"/>
    </w:rPr>
  </w:style>
  <w:style w:type="character" w:styleId="IntenseReference">
    <w:name w:val="Intense Reference"/>
    <w:basedOn w:val="DefaultParagraphFont"/>
    <w:uiPriority w:val="32"/>
    <w:qFormat/>
    <w:rsid w:val="00DC3496"/>
    <w:rPr>
      <w:b/>
      <w:bCs/>
      <w:smallCaps/>
      <w:color w:val="0F4761" w:themeColor="accent1" w:themeShade="BF"/>
      <w:spacing w:val="5"/>
    </w:rPr>
  </w:style>
  <w:style w:type="paragraph" w:styleId="Header">
    <w:name w:val="header"/>
    <w:basedOn w:val="Normal"/>
    <w:link w:val="HeaderChar"/>
    <w:uiPriority w:val="99"/>
    <w:unhideWhenUsed/>
    <w:rsid w:val="00DC3496"/>
    <w:pPr>
      <w:tabs>
        <w:tab w:val="center" w:pos="4680"/>
        <w:tab w:val="right" w:pos="9360"/>
      </w:tabs>
      <w:spacing w:after="0" w:line="240" w:lineRule="auto"/>
    </w:pPr>
  </w:style>
  <w:style w:type="character" w:customStyle="1" w:styleId="HeaderChar">
    <w:name w:val="Header Char"/>
    <w:basedOn w:val="DefaultParagraphFont"/>
    <w:link w:val="Header"/>
    <w:uiPriority w:val="99"/>
    <w:rsid w:val="00DC3496"/>
  </w:style>
  <w:style w:type="paragraph" w:styleId="Footer">
    <w:name w:val="footer"/>
    <w:basedOn w:val="Normal"/>
    <w:link w:val="FooterChar"/>
    <w:uiPriority w:val="99"/>
    <w:unhideWhenUsed/>
    <w:rsid w:val="000E3338"/>
    <w:pPr>
      <w:tabs>
        <w:tab w:val="center" w:pos="4680"/>
        <w:tab w:val="right" w:pos="9360"/>
      </w:tabs>
      <w:spacing w:after="0" w:line="240" w:lineRule="auto"/>
    </w:pPr>
  </w:style>
  <w:style w:type="character" w:customStyle="1" w:styleId="FooterChar">
    <w:name w:val="Footer Char"/>
    <w:basedOn w:val="DefaultParagraphFont"/>
    <w:link w:val="Footer"/>
    <w:uiPriority w:val="99"/>
    <w:rsid w:val="000E333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3</Pages>
  <Words>1144</Words>
  <Characters>6789</Characters>
  <Application>Microsoft Office Word</Application>
  <DocSecurity>0</DocSecurity>
  <Lines>100</Lines>
  <Paragraphs>16</Paragraphs>
  <ScaleCrop>false</ScaleCrop>
  <Company>DFO MPO</Company>
  <LinksUpToDate>false</LinksUpToDate>
  <CharactersWithSpaces>7920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Sutherland, Justine (she, her / elle, la) (DFO/MPO)</dc:creator>
  <cp:keywords/>
  <dc:description/>
  <cp:lastModifiedBy>Sutherland, Justine (she, her / elle, la) (DFO/MPO)</cp:lastModifiedBy>
  <cp:revision>3</cp:revision>
  <dcterms:created xsi:type="dcterms:W3CDTF">2026-07-09T13:33:00Z</dcterms:created>
  <dcterms:modified xsi:type="dcterms:W3CDTF">2026-07-09T13:41:00Z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5474099e,7f5ec065,69665121</vt:lpwstr>
  </property>
  <property fmtid="{D5CDD505-2E9C-101B-9397-08002B2CF9AE}" pid="3" name="ClassificationContentMarkingHeaderFontProps">
    <vt:lpwstr>#000000,12,Aptos</vt:lpwstr>
  </property>
  <property fmtid="{D5CDD505-2E9C-101B-9397-08002B2CF9AE}" pid="4" name="ClassificationContentMarkingHeaderText">
    <vt:lpwstr>Unclassified - Non-Classifié</vt:lpwstr>
  </property>
  <property fmtid="{D5CDD505-2E9C-101B-9397-08002B2CF9AE}" pid="5" name="MSIP_Label_4e6cdb53-fd15-486d-84de-c510e3a62203_Enabled">
    <vt:lpwstr>true</vt:lpwstr>
  </property>
  <property fmtid="{D5CDD505-2E9C-101B-9397-08002B2CF9AE}" pid="6" name="MSIP_Label_4e6cdb53-fd15-486d-84de-c510e3a62203_SetDate">
    <vt:lpwstr>2026-07-09T13:41:03Z</vt:lpwstr>
  </property>
  <property fmtid="{D5CDD505-2E9C-101B-9397-08002B2CF9AE}" pid="7" name="MSIP_Label_4e6cdb53-fd15-486d-84de-c510e3a62203_Method">
    <vt:lpwstr>Standard</vt:lpwstr>
  </property>
  <property fmtid="{D5CDD505-2E9C-101B-9397-08002B2CF9AE}" pid="8" name="MSIP_Label_4e6cdb53-fd15-486d-84de-c510e3a62203_Name">
    <vt:lpwstr>UNCLASSIFIED - NON-CLASSIFIÉ</vt:lpwstr>
  </property>
  <property fmtid="{D5CDD505-2E9C-101B-9397-08002B2CF9AE}" pid="9" name="MSIP_Label_4e6cdb53-fd15-486d-84de-c510e3a62203_SiteId">
    <vt:lpwstr>1594fdae-a1d9-4405-915d-011467234338</vt:lpwstr>
  </property>
  <property fmtid="{D5CDD505-2E9C-101B-9397-08002B2CF9AE}" pid="10" name="MSIP_Label_4e6cdb53-fd15-486d-84de-c510e3a62203_ActionId">
    <vt:lpwstr>e1551b4d-a101-42ec-9813-c65c6f3b704b</vt:lpwstr>
  </property>
  <property fmtid="{D5CDD505-2E9C-101B-9397-08002B2CF9AE}" pid="11" name="MSIP_Label_4e6cdb53-fd15-486d-84de-c510e3a62203_ContentBits">
    <vt:lpwstr>1</vt:lpwstr>
  </property>
  <property fmtid="{D5CDD505-2E9C-101B-9397-08002B2CF9AE}" pid="12" name="MSIP_Label_4e6cdb53-fd15-486d-84de-c510e3a62203_Tag">
    <vt:lpwstr>10, 3, 0, 1</vt:lpwstr>
  </property>
</Properties>
</file>