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7416A" w14:textId="77777777" w:rsidR="007060D4" w:rsidRDefault="007060D4" w:rsidP="007060D4">
      <w:pPr>
        <w:jc w:val="center"/>
        <w:rPr>
          <w:b/>
          <w:bCs/>
        </w:rPr>
      </w:pPr>
    </w:p>
    <w:p w14:paraId="74760E12" w14:textId="77777777" w:rsidR="007060D4" w:rsidRDefault="007060D4" w:rsidP="007060D4">
      <w:pPr>
        <w:jc w:val="center"/>
        <w:rPr>
          <w:b/>
          <w:bCs/>
        </w:rPr>
      </w:pPr>
    </w:p>
    <w:p w14:paraId="07AAFA84" w14:textId="09754F76" w:rsidR="00D26CA5" w:rsidRPr="00D26CA5" w:rsidRDefault="00D26CA5" w:rsidP="007060D4">
      <w:pPr>
        <w:jc w:val="center"/>
        <w:rPr>
          <w:b/>
          <w:bCs/>
        </w:rPr>
      </w:pPr>
      <w:r w:rsidRPr="00D26CA5">
        <w:rPr>
          <w:b/>
          <w:bCs/>
        </w:rPr>
        <w:t>KIVALLIQ INUIT ASSOCIATION</w:t>
      </w:r>
    </w:p>
    <w:p w14:paraId="45595153" w14:textId="77777777" w:rsidR="00D26CA5" w:rsidRPr="00D26CA5" w:rsidRDefault="00D26CA5" w:rsidP="007060D4">
      <w:pPr>
        <w:jc w:val="center"/>
        <w:rPr>
          <w:b/>
          <w:bCs/>
        </w:rPr>
      </w:pPr>
      <w:r w:rsidRPr="00D26CA5">
        <w:rPr>
          <w:b/>
          <w:bCs/>
        </w:rPr>
        <w:t>LAND COMPLIANCE SUBMISSION</w:t>
      </w:r>
    </w:p>
    <w:p w14:paraId="23B8A679" w14:textId="77777777" w:rsidR="007060D4" w:rsidRDefault="007060D4" w:rsidP="007060D4">
      <w:pPr>
        <w:jc w:val="center"/>
        <w:rPr>
          <w:b/>
          <w:bCs/>
        </w:rPr>
      </w:pPr>
    </w:p>
    <w:p w14:paraId="504727A6" w14:textId="77777777" w:rsidR="007060D4" w:rsidRDefault="007060D4" w:rsidP="007060D4">
      <w:pPr>
        <w:jc w:val="center"/>
        <w:rPr>
          <w:b/>
          <w:bCs/>
        </w:rPr>
      </w:pPr>
    </w:p>
    <w:p w14:paraId="087C108F" w14:textId="218074CD" w:rsidR="00D26CA5" w:rsidRPr="00D26CA5" w:rsidRDefault="00B566CC" w:rsidP="007060D4">
      <w:pPr>
        <w:jc w:val="center"/>
        <w:rPr>
          <w:b/>
          <w:bCs/>
        </w:rPr>
      </w:pPr>
      <w:r>
        <w:rPr>
          <w:b/>
          <w:bCs/>
        </w:rPr>
        <w:t>Esker</w:t>
      </w:r>
      <w:r w:rsidR="00D26CA5" w:rsidRPr="00D26CA5">
        <w:rPr>
          <w:b/>
          <w:bCs/>
        </w:rPr>
        <w:t xml:space="preserve"> GOLD PROJECT</w:t>
      </w:r>
    </w:p>
    <w:p w14:paraId="1A93F94C" w14:textId="77777777" w:rsidR="00D26CA5" w:rsidRPr="00D26CA5" w:rsidRDefault="00D26CA5" w:rsidP="007060D4">
      <w:pPr>
        <w:jc w:val="center"/>
        <w:rPr>
          <w:b/>
          <w:bCs/>
        </w:rPr>
      </w:pPr>
      <w:r w:rsidRPr="00D26CA5">
        <w:rPr>
          <w:b/>
          <w:bCs/>
        </w:rPr>
        <w:t>2026 DIAMOND DRILLING PROGRAM</w:t>
      </w:r>
    </w:p>
    <w:p w14:paraId="39CF86B1" w14:textId="77777777" w:rsidR="00D26CA5" w:rsidRPr="00D26CA5" w:rsidRDefault="00D26CA5" w:rsidP="007060D4">
      <w:pPr>
        <w:jc w:val="center"/>
        <w:rPr>
          <w:b/>
          <w:bCs/>
        </w:rPr>
      </w:pPr>
      <w:r w:rsidRPr="00D26CA5">
        <w:rPr>
          <w:b/>
          <w:bCs/>
        </w:rPr>
        <w:t>Proposed Land Use Activities and Disturbance Summary</w:t>
      </w:r>
    </w:p>
    <w:p w14:paraId="696F02F9" w14:textId="16737F63" w:rsidR="00D26CA5" w:rsidRPr="00D26CA5" w:rsidRDefault="00D26CA5" w:rsidP="007060D4">
      <w:pPr>
        <w:jc w:val="center"/>
      </w:pPr>
    </w:p>
    <w:p w14:paraId="422C42D9" w14:textId="77777777" w:rsidR="007060D4" w:rsidRDefault="007060D4" w:rsidP="00D26CA5">
      <w:pPr>
        <w:rPr>
          <w:b/>
          <w:bCs/>
        </w:rPr>
      </w:pPr>
    </w:p>
    <w:p w14:paraId="39A9D283" w14:textId="77777777" w:rsidR="007060D4" w:rsidRDefault="007060D4" w:rsidP="00D26CA5">
      <w:pPr>
        <w:rPr>
          <w:b/>
          <w:bCs/>
        </w:rPr>
      </w:pPr>
    </w:p>
    <w:p w14:paraId="2D57996F" w14:textId="7DD72826" w:rsidR="00D26CA5" w:rsidRPr="00D26CA5" w:rsidRDefault="00D26CA5" w:rsidP="00D26CA5">
      <w:r w:rsidRPr="00D26CA5">
        <w:rPr>
          <w:b/>
          <w:bCs/>
        </w:rPr>
        <w:t>Proponent:</w:t>
      </w:r>
      <w:r w:rsidRPr="00D26CA5">
        <w:br/>
        <w:t>Guardian Exploration Inc.</w:t>
      </w:r>
    </w:p>
    <w:p w14:paraId="741CCDFD" w14:textId="072A2575" w:rsidR="00B566CC" w:rsidRDefault="00D26CA5" w:rsidP="00B566CC">
      <w:pPr>
        <w:spacing w:line="240" w:lineRule="auto"/>
        <w:contextualSpacing/>
      </w:pPr>
      <w:r w:rsidRPr="00D26CA5">
        <w:rPr>
          <w:b/>
          <w:bCs/>
        </w:rPr>
        <w:t>Project Location:</w:t>
      </w:r>
      <w:r w:rsidRPr="00D26CA5">
        <w:br/>
      </w:r>
      <w:r w:rsidR="00B566CC">
        <w:t>South Henik Lake Area</w:t>
      </w:r>
    </w:p>
    <w:p w14:paraId="764E8F78" w14:textId="3EE2EE7F" w:rsidR="00B566CC" w:rsidRDefault="00D26CA5" w:rsidP="00B566CC">
      <w:pPr>
        <w:spacing w:line="240" w:lineRule="auto"/>
        <w:contextualSpacing/>
      </w:pPr>
      <w:r w:rsidRPr="00D26CA5">
        <w:t>Kivalliq Region, Nunavut</w:t>
      </w:r>
      <w:r w:rsidRPr="00D26CA5">
        <w:br/>
        <w:t>Inuit Owned Lands</w:t>
      </w:r>
    </w:p>
    <w:p w14:paraId="2D6BDF5B" w14:textId="77777777" w:rsidR="00B566CC" w:rsidRPr="00B566CC" w:rsidRDefault="00B566CC" w:rsidP="00B566CC">
      <w:pPr>
        <w:spacing w:line="240" w:lineRule="auto"/>
        <w:contextualSpacing/>
      </w:pPr>
    </w:p>
    <w:p w14:paraId="3D91FC1C" w14:textId="2545800F" w:rsidR="00D26CA5" w:rsidRPr="00D26CA5" w:rsidRDefault="00D26CA5" w:rsidP="00D26CA5">
      <w:r w:rsidRPr="00D26CA5">
        <w:rPr>
          <w:b/>
          <w:bCs/>
        </w:rPr>
        <w:t>Submission Type:</w:t>
      </w:r>
      <w:r w:rsidRPr="00D26CA5">
        <w:br/>
        <w:t>Land Compliance Update</w:t>
      </w:r>
      <w:r w:rsidRPr="00D26CA5">
        <w:br/>
        <w:t>2026 Seasonal Diamond Drilling Program</w:t>
      </w:r>
    </w:p>
    <w:p w14:paraId="24818B46" w14:textId="1028B102" w:rsidR="00D26CA5" w:rsidRDefault="00D26CA5" w:rsidP="00D26CA5">
      <w:r w:rsidRPr="00D26CA5">
        <w:rPr>
          <w:b/>
          <w:bCs/>
        </w:rPr>
        <w:t>Date of Submission:</w:t>
      </w:r>
      <w:r w:rsidRPr="00D26CA5">
        <w:br/>
      </w:r>
      <w:r w:rsidR="007060D4">
        <w:t>01 March 2026</w:t>
      </w:r>
    </w:p>
    <w:p w14:paraId="2C99A9C4" w14:textId="77777777" w:rsidR="007060D4" w:rsidRPr="00C979BA" w:rsidRDefault="007060D4" w:rsidP="007060D4">
      <w:r w:rsidRPr="00C979BA">
        <w:rPr>
          <w:b/>
          <w:bCs/>
        </w:rPr>
        <w:t>Submitted by:</w:t>
      </w:r>
    </w:p>
    <w:p w14:paraId="7B74BE97" w14:textId="510A4DA7" w:rsidR="007060D4" w:rsidRPr="002828AE" w:rsidRDefault="002828AE">
      <w:r>
        <w:t>Graydon Kowal</w:t>
      </w:r>
      <w:r w:rsidRPr="00C869EC">
        <w:br/>
        <w:t>Guardian Exploration Inc.</w:t>
      </w:r>
      <w:r w:rsidRPr="00C869EC">
        <w:br/>
      </w:r>
      <w:r w:rsidRPr="00430B85">
        <w:t>gkowal@guardianex.com</w:t>
      </w:r>
    </w:p>
    <w:p w14:paraId="3EF9A340" w14:textId="77777777" w:rsidR="007F589A" w:rsidRDefault="007F589A" w:rsidP="00D26CA5">
      <w:pPr>
        <w:rPr>
          <w:b/>
          <w:bCs/>
        </w:rPr>
      </w:pPr>
    </w:p>
    <w:p w14:paraId="24FBD905" w14:textId="77777777" w:rsidR="007F589A" w:rsidRDefault="007F589A" w:rsidP="00D26CA5">
      <w:pPr>
        <w:rPr>
          <w:b/>
          <w:bCs/>
        </w:rPr>
      </w:pPr>
    </w:p>
    <w:p w14:paraId="4F2189DB" w14:textId="77777777" w:rsidR="007F589A" w:rsidRDefault="007F589A" w:rsidP="00D26CA5">
      <w:pPr>
        <w:rPr>
          <w:b/>
          <w:bCs/>
        </w:rPr>
      </w:pPr>
    </w:p>
    <w:p w14:paraId="6B49CCD0" w14:textId="6CC14FDC" w:rsidR="00D26CA5" w:rsidRPr="00D26CA5" w:rsidRDefault="00D26CA5" w:rsidP="00D26CA5">
      <w:pPr>
        <w:rPr>
          <w:b/>
          <w:bCs/>
        </w:rPr>
      </w:pPr>
      <w:r w:rsidRPr="00D26CA5">
        <w:rPr>
          <w:b/>
          <w:bCs/>
        </w:rPr>
        <w:lastRenderedPageBreak/>
        <w:t>DOCUMENT CONTENTS</w:t>
      </w:r>
    </w:p>
    <w:p w14:paraId="09434931" w14:textId="77777777" w:rsidR="00D26CA5" w:rsidRPr="00D26CA5" w:rsidRDefault="00D26CA5" w:rsidP="00D26CA5">
      <w:r w:rsidRPr="00D26CA5">
        <w:t>This submission includes:</w:t>
      </w:r>
    </w:p>
    <w:p w14:paraId="755B9991" w14:textId="77777777" w:rsidR="00D26CA5" w:rsidRPr="00D26CA5" w:rsidRDefault="00D26CA5" w:rsidP="00D26CA5">
      <w:r w:rsidRPr="00D26CA5">
        <w:t>• Purpose and Scope of 2026 Activities</w:t>
      </w:r>
      <w:r w:rsidRPr="00D26CA5">
        <w:br/>
        <w:t>• Detailed Land Disturbance and Infrastructure Summary</w:t>
      </w:r>
      <w:r w:rsidRPr="00D26CA5">
        <w:br/>
        <w:t>• Drill Pad Disturbance Appendix</w:t>
      </w:r>
      <w:r w:rsidRPr="00D26CA5">
        <w:br/>
        <w:t>• Sump Volumes and Active Management Summary</w:t>
      </w:r>
      <w:r w:rsidRPr="00D26CA5">
        <w:br/>
        <w:t>• Temporary Infrastructure Footprint Summary</w:t>
      </w:r>
      <w:r w:rsidRPr="00D26CA5">
        <w:br/>
        <w:t>• Fuel Storage and Containment Description</w:t>
      </w:r>
      <w:r w:rsidRPr="00D26CA5">
        <w:br/>
        <w:t>• Environmental Protection and Reclamation Commitments</w:t>
      </w:r>
      <w:r w:rsidRPr="00D26CA5">
        <w:br/>
        <w:t>• Wildlife Mitigation Commitments</w:t>
      </w:r>
      <w:r w:rsidRPr="00D26CA5">
        <w:br/>
        <w:t>• Archaeological Chance Find Procedure</w:t>
      </w:r>
      <w:r w:rsidRPr="00D26CA5">
        <w:br/>
        <w:t>• Community Engagement Documentation</w:t>
      </w:r>
      <w:r w:rsidRPr="00D26CA5">
        <w:br/>
        <w:t>• Supporting Maps and Spatial Data</w:t>
      </w:r>
    </w:p>
    <w:p w14:paraId="429EB7B2" w14:textId="77777777" w:rsidR="002543E8" w:rsidRDefault="002543E8" w:rsidP="00D26CA5">
      <w:pPr>
        <w:rPr>
          <w:b/>
          <w:bCs/>
        </w:rPr>
      </w:pPr>
    </w:p>
    <w:p w14:paraId="7133B4B2" w14:textId="0FA45E58" w:rsidR="009127EF" w:rsidRDefault="009127EF">
      <w:pPr>
        <w:rPr>
          <w:b/>
          <w:bCs/>
        </w:rPr>
      </w:pPr>
    </w:p>
    <w:p w14:paraId="63D4D068" w14:textId="77777777" w:rsidR="00135C20" w:rsidRDefault="00135C20">
      <w:pPr>
        <w:rPr>
          <w:b/>
          <w:bCs/>
        </w:rPr>
      </w:pPr>
      <w:r>
        <w:rPr>
          <w:b/>
          <w:bCs/>
        </w:rPr>
        <w:br w:type="page"/>
      </w:r>
    </w:p>
    <w:p w14:paraId="2C2C1798" w14:textId="0A6BC798" w:rsidR="00C869EC" w:rsidRPr="00C869EC" w:rsidRDefault="00B566CC" w:rsidP="00C869EC">
      <w:pPr>
        <w:rPr>
          <w:b/>
          <w:bCs/>
        </w:rPr>
      </w:pPr>
      <w:r>
        <w:rPr>
          <w:b/>
          <w:bCs/>
        </w:rPr>
        <w:lastRenderedPageBreak/>
        <w:t xml:space="preserve">1.0 </w:t>
      </w:r>
      <w:r w:rsidR="00C869EC" w:rsidRPr="00C869EC">
        <w:rPr>
          <w:b/>
          <w:bCs/>
        </w:rPr>
        <w:t>Scope of 2026 Activities</w:t>
      </w:r>
    </w:p>
    <w:p w14:paraId="3291E954" w14:textId="77777777" w:rsidR="00C869EC" w:rsidRPr="00C869EC" w:rsidRDefault="00C869EC" w:rsidP="00C869EC">
      <w:r w:rsidRPr="00C869EC">
        <w:t>The proposed 2026 program includes:</w:t>
      </w:r>
    </w:p>
    <w:p w14:paraId="22B0FD74" w14:textId="7167C22E" w:rsidR="00C869EC" w:rsidRPr="00C869EC" w:rsidRDefault="00C869EC" w:rsidP="00C869EC">
      <w:pPr>
        <w:numPr>
          <w:ilvl w:val="0"/>
          <w:numId w:val="3"/>
        </w:numPr>
      </w:pPr>
      <w:r w:rsidRPr="00C869EC">
        <w:t xml:space="preserve">Up to </w:t>
      </w:r>
      <w:r w:rsidR="00B566CC">
        <w:t>8</w:t>
      </w:r>
      <w:r w:rsidRPr="00C869EC">
        <w:t xml:space="preserve"> drill pads (approximately 15 m × 15 m each);</w:t>
      </w:r>
    </w:p>
    <w:p w14:paraId="7AF81EFB" w14:textId="77777777" w:rsidR="00C869EC" w:rsidRPr="00C869EC" w:rsidRDefault="00C869EC" w:rsidP="00C869EC">
      <w:pPr>
        <w:numPr>
          <w:ilvl w:val="0"/>
          <w:numId w:val="3"/>
        </w:numPr>
      </w:pPr>
      <w:r w:rsidRPr="00C869EC">
        <w:t>Multiple drill holes from individual pad areas (commonly two and up to four per pad);</w:t>
      </w:r>
    </w:p>
    <w:p w14:paraId="1BC98D34" w14:textId="77777777" w:rsidR="00C869EC" w:rsidRPr="00C869EC" w:rsidRDefault="00C869EC" w:rsidP="00C869EC">
      <w:pPr>
        <w:numPr>
          <w:ilvl w:val="0"/>
          <w:numId w:val="3"/>
        </w:numPr>
      </w:pPr>
      <w:r w:rsidRPr="00C869EC">
        <w:t>Helicopter-supported access (no road construction);</w:t>
      </w:r>
    </w:p>
    <w:p w14:paraId="1E3ACDD9" w14:textId="5A42088D" w:rsidR="00C869EC" w:rsidRPr="00C869EC" w:rsidRDefault="00C869EC" w:rsidP="00C869EC">
      <w:pPr>
        <w:numPr>
          <w:ilvl w:val="0"/>
          <w:numId w:val="3"/>
        </w:numPr>
      </w:pPr>
      <w:r w:rsidRPr="00C869EC">
        <w:t>Temporary seasonal core logging facility and camp;</w:t>
      </w:r>
    </w:p>
    <w:p w14:paraId="50F7BC06" w14:textId="77777777" w:rsidR="00C869EC" w:rsidRPr="00C869EC" w:rsidRDefault="00C869EC" w:rsidP="00C869EC">
      <w:pPr>
        <w:numPr>
          <w:ilvl w:val="0"/>
          <w:numId w:val="3"/>
        </w:numPr>
      </w:pPr>
      <w:r w:rsidRPr="00C869EC">
        <w:t>Secondary-contained fuel storage (maximum 4,000 litres on site at any given time);</w:t>
      </w:r>
    </w:p>
    <w:p w14:paraId="4AF502E1" w14:textId="77777777" w:rsidR="00C869EC" w:rsidRPr="00C869EC" w:rsidRDefault="00C869EC" w:rsidP="00C869EC">
      <w:pPr>
        <w:numPr>
          <w:ilvl w:val="0"/>
          <w:numId w:val="3"/>
        </w:numPr>
      </w:pPr>
      <w:r w:rsidRPr="00C869EC">
        <w:t>Closed-loop water recirculation with conservative withdrawal limits;</w:t>
      </w:r>
    </w:p>
    <w:p w14:paraId="347C3D44" w14:textId="77777777" w:rsidR="00C869EC" w:rsidRPr="00C869EC" w:rsidRDefault="00C869EC" w:rsidP="00C869EC">
      <w:pPr>
        <w:numPr>
          <w:ilvl w:val="0"/>
          <w:numId w:val="3"/>
        </w:numPr>
      </w:pPr>
      <w:r w:rsidRPr="00C869EC">
        <w:t>Wildlife mitigation measures including 500 metre caribou setback;</w:t>
      </w:r>
    </w:p>
    <w:p w14:paraId="1D473724" w14:textId="77777777" w:rsidR="00C869EC" w:rsidRPr="00C869EC" w:rsidRDefault="00C869EC" w:rsidP="00C869EC">
      <w:pPr>
        <w:numPr>
          <w:ilvl w:val="0"/>
          <w:numId w:val="3"/>
        </w:numPr>
      </w:pPr>
      <w:r w:rsidRPr="00C869EC">
        <w:t>Sump excavation and backfilling;</w:t>
      </w:r>
    </w:p>
    <w:p w14:paraId="501B26F6" w14:textId="77777777" w:rsidR="00C869EC" w:rsidRPr="00C869EC" w:rsidRDefault="00C869EC" w:rsidP="00C869EC">
      <w:pPr>
        <w:numPr>
          <w:ilvl w:val="0"/>
          <w:numId w:val="3"/>
        </w:numPr>
      </w:pPr>
      <w:r w:rsidRPr="00C869EC">
        <w:t>Progressive reclamation of drill pads.</w:t>
      </w:r>
    </w:p>
    <w:p w14:paraId="3CB27EC3" w14:textId="77777777" w:rsidR="00C869EC" w:rsidRPr="00C869EC" w:rsidRDefault="00C869EC" w:rsidP="00C869EC">
      <w:r w:rsidRPr="00C869EC">
        <w:t>Certain exploration activities approved for the 2025 field season that were not completed may be undertaken during the 2026 season. These activities remain within the originally described scope and do not expand the project footprint.</w:t>
      </w:r>
    </w:p>
    <w:p w14:paraId="35A98845" w14:textId="77777777" w:rsidR="002A7270" w:rsidRDefault="002A7270" w:rsidP="00C869EC">
      <w:pPr>
        <w:rPr>
          <w:b/>
          <w:bCs/>
        </w:rPr>
      </w:pPr>
    </w:p>
    <w:p w14:paraId="00C3083D" w14:textId="1CE26E2D" w:rsidR="00C869EC" w:rsidRPr="00C869EC" w:rsidRDefault="00C869EC" w:rsidP="00C869EC">
      <w:pPr>
        <w:rPr>
          <w:b/>
          <w:bCs/>
        </w:rPr>
      </w:pPr>
      <w:r w:rsidRPr="00C869EC">
        <w:rPr>
          <w:b/>
          <w:bCs/>
        </w:rPr>
        <w:t>2.0 DETAILED LAND DISTURBANCE AND INFRASTRUCTURE</w:t>
      </w:r>
    </w:p>
    <w:p w14:paraId="551FB91E" w14:textId="77777777" w:rsidR="00C869EC" w:rsidRPr="00C869EC" w:rsidRDefault="00C869EC" w:rsidP="00C869EC">
      <w:pPr>
        <w:rPr>
          <w:b/>
          <w:bCs/>
        </w:rPr>
      </w:pPr>
      <w:r w:rsidRPr="00C869EC">
        <w:rPr>
          <w:b/>
          <w:bCs/>
        </w:rPr>
        <w:t>2.1 Drill Pads</w:t>
      </w:r>
    </w:p>
    <w:p w14:paraId="3D0D8D24" w14:textId="2762CFA6" w:rsidR="00C869EC" w:rsidRPr="00C869EC" w:rsidRDefault="00C869EC" w:rsidP="00C869EC">
      <w:r w:rsidRPr="00C869EC">
        <w:t xml:space="preserve">Maximum number of drill pads: </w:t>
      </w:r>
      <w:r w:rsidR="00B566CC">
        <w:t>8</w:t>
      </w:r>
      <w:r w:rsidRPr="00C869EC">
        <w:br/>
        <w:t>Approximate dimensions per pad: 15 m × 15 m (225 m²)</w:t>
      </w:r>
      <w:r w:rsidRPr="00C869EC">
        <w:br/>
        <w:t xml:space="preserve">Maximum cumulative pad disturbance: </w:t>
      </w:r>
      <w:r w:rsidR="00B566CC">
        <w:t>1,800</w:t>
      </w:r>
      <w:r w:rsidRPr="00C869EC">
        <w:t xml:space="preserve"> m²</w:t>
      </w:r>
    </w:p>
    <w:p w14:paraId="4BEC69D5" w14:textId="77777777" w:rsidR="00C869EC" w:rsidRPr="00C869EC" w:rsidRDefault="00C869EC" w:rsidP="00C869EC">
      <w:r w:rsidRPr="00C869EC">
        <w:t>Multiple drill holes (commonly two and up to four) may be completed from a single pad area in order to reduce overall surface disturbance and limit the need for additional pad construction.</w:t>
      </w:r>
    </w:p>
    <w:p w14:paraId="47A4DC5B" w14:textId="1E402404" w:rsidR="00C869EC" w:rsidRPr="00C869EC" w:rsidRDefault="00C869EC" w:rsidP="00C869EC">
      <w:r w:rsidRPr="00C869EC">
        <w:t>Minor leveling may be required to ensure safe drill operation and will be achieved using timber cribbing, locally available rock, and limited redistribution of existing soil materials.</w:t>
      </w:r>
    </w:p>
    <w:p w14:paraId="1AA66FF2" w14:textId="77777777" w:rsidR="00C869EC" w:rsidRDefault="00C869EC" w:rsidP="00C869EC">
      <w:r w:rsidRPr="00C869EC">
        <w:t>No road construction, corridor clearing, or blasting is proposed.</w:t>
      </w:r>
    </w:p>
    <w:tbl>
      <w:tblPr>
        <w:tblW w:w="6600" w:type="dxa"/>
        <w:jc w:val="center"/>
        <w:tblLook w:val="04A0" w:firstRow="1" w:lastRow="0" w:firstColumn="1" w:lastColumn="0" w:noHBand="0" w:noVBand="1"/>
      </w:tblPr>
      <w:tblGrid>
        <w:gridCol w:w="1460"/>
        <w:gridCol w:w="886"/>
        <w:gridCol w:w="1029"/>
        <w:gridCol w:w="1068"/>
        <w:gridCol w:w="983"/>
        <w:gridCol w:w="527"/>
        <w:gridCol w:w="1280"/>
      </w:tblGrid>
      <w:tr w:rsidR="002828AE" w:rsidRPr="002828AE" w14:paraId="163C5C2A" w14:textId="77777777" w:rsidTr="002828AE">
        <w:trPr>
          <w:trHeight w:val="290"/>
          <w:jc w:val="center"/>
        </w:trPr>
        <w:tc>
          <w:tcPr>
            <w:tcW w:w="1460" w:type="dxa"/>
            <w:tcBorders>
              <w:top w:val="single" w:sz="4" w:space="0" w:color="auto"/>
              <w:left w:val="single" w:sz="4" w:space="0" w:color="auto"/>
              <w:bottom w:val="single" w:sz="4" w:space="0" w:color="auto"/>
              <w:right w:val="single" w:sz="4" w:space="0" w:color="auto"/>
            </w:tcBorders>
            <w:noWrap/>
            <w:vAlign w:val="center"/>
            <w:hideMark/>
          </w:tcPr>
          <w:p w14:paraId="14BB2C6E" w14:textId="77777777" w:rsidR="002828AE" w:rsidRPr="002828AE" w:rsidRDefault="002828AE" w:rsidP="002828AE">
            <w:pPr>
              <w:spacing w:after="0" w:line="240" w:lineRule="auto"/>
              <w:jc w:val="center"/>
              <w:rPr>
                <w:rFonts w:ascii="Calibri" w:eastAsia="Times New Roman" w:hAnsi="Calibri" w:cs="Calibri"/>
                <w:b/>
                <w:bCs/>
                <w:color w:val="000000"/>
                <w:kern w:val="0"/>
                <w:sz w:val="22"/>
                <w:szCs w:val="22"/>
                <w:lang w:val="en-CA" w:eastAsia="en-CA"/>
                <w14:ligatures w14:val="none"/>
              </w:rPr>
            </w:pPr>
            <w:r w:rsidRPr="002828AE">
              <w:rPr>
                <w:rFonts w:ascii="Calibri" w:eastAsia="Times New Roman" w:hAnsi="Calibri" w:cs="Calibri"/>
                <w:b/>
                <w:bCs/>
                <w:color w:val="000000"/>
                <w:kern w:val="0"/>
                <w:sz w:val="22"/>
                <w:szCs w:val="22"/>
                <w:lang w:val="en-CA" w:eastAsia="en-CA"/>
                <w14:ligatures w14:val="none"/>
              </w:rPr>
              <w:t>Drillhole Name</w:t>
            </w:r>
          </w:p>
        </w:tc>
        <w:tc>
          <w:tcPr>
            <w:tcW w:w="760" w:type="dxa"/>
            <w:tcBorders>
              <w:top w:val="single" w:sz="4" w:space="0" w:color="auto"/>
              <w:left w:val="nil"/>
              <w:bottom w:val="single" w:sz="4" w:space="0" w:color="auto"/>
              <w:right w:val="single" w:sz="4" w:space="0" w:color="auto"/>
            </w:tcBorders>
            <w:noWrap/>
            <w:vAlign w:val="center"/>
            <w:hideMark/>
          </w:tcPr>
          <w:p w14:paraId="6BA42AC3" w14:textId="77777777" w:rsidR="002828AE" w:rsidRPr="002828AE" w:rsidRDefault="002828AE" w:rsidP="002828AE">
            <w:pPr>
              <w:spacing w:after="0" w:line="240" w:lineRule="auto"/>
              <w:jc w:val="center"/>
              <w:rPr>
                <w:rFonts w:ascii="Calibri" w:eastAsia="Times New Roman" w:hAnsi="Calibri" w:cs="Calibri"/>
                <w:b/>
                <w:bCs/>
                <w:color w:val="000000"/>
                <w:kern w:val="0"/>
                <w:sz w:val="22"/>
                <w:szCs w:val="22"/>
                <w:lang w:val="en-CA" w:eastAsia="en-CA"/>
                <w14:ligatures w14:val="none"/>
              </w:rPr>
            </w:pPr>
            <w:r w:rsidRPr="002828AE">
              <w:rPr>
                <w:rFonts w:ascii="Calibri" w:eastAsia="Times New Roman" w:hAnsi="Calibri" w:cs="Calibri"/>
                <w:b/>
                <w:bCs/>
                <w:color w:val="000000"/>
                <w:kern w:val="0"/>
                <w:sz w:val="22"/>
                <w:szCs w:val="22"/>
                <w:lang w:val="en-CA" w:eastAsia="en-CA"/>
                <w14:ligatures w14:val="none"/>
              </w:rPr>
              <w:t>Easting</w:t>
            </w:r>
          </w:p>
        </w:tc>
        <w:tc>
          <w:tcPr>
            <w:tcW w:w="900" w:type="dxa"/>
            <w:tcBorders>
              <w:top w:val="single" w:sz="4" w:space="0" w:color="auto"/>
              <w:left w:val="nil"/>
              <w:bottom w:val="single" w:sz="4" w:space="0" w:color="auto"/>
              <w:right w:val="single" w:sz="4" w:space="0" w:color="auto"/>
            </w:tcBorders>
            <w:noWrap/>
            <w:vAlign w:val="center"/>
            <w:hideMark/>
          </w:tcPr>
          <w:p w14:paraId="14095A87" w14:textId="77777777" w:rsidR="002828AE" w:rsidRPr="002828AE" w:rsidRDefault="002828AE" w:rsidP="002828AE">
            <w:pPr>
              <w:spacing w:after="0" w:line="240" w:lineRule="auto"/>
              <w:jc w:val="center"/>
              <w:rPr>
                <w:rFonts w:ascii="Calibri" w:eastAsia="Times New Roman" w:hAnsi="Calibri" w:cs="Calibri"/>
                <w:b/>
                <w:bCs/>
                <w:color w:val="000000"/>
                <w:kern w:val="0"/>
                <w:sz w:val="22"/>
                <w:szCs w:val="22"/>
                <w:lang w:val="en-CA" w:eastAsia="en-CA"/>
                <w14:ligatures w14:val="none"/>
              </w:rPr>
            </w:pPr>
            <w:r w:rsidRPr="002828AE">
              <w:rPr>
                <w:rFonts w:ascii="Calibri" w:eastAsia="Times New Roman" w:hAnsi="Calibri" w:cs="Calibri"/>
                <w:b/>
                <w:bCs/>
                <w:color w:val="000000"/>
                <w:kern w:val="0"/>
                <w:sz w:val="22"/>
                <w:szCs w:val="22"/>
                <w:lang w:val="en-CA" w:eastAsia="en-CA"/>
                <w14:ligatures w14:val="none"/>
              </w:rPr>
              <w:t>Northing</w:t>
            </w:r>
          </w:p>
        </w:tc>
        <w:tc>
          <w:tcPr>
            <w:tcW w:w="940" w:type="dxa"/>
            <w:tcBorders>
              <w:top w:val="single" w:sz="4" w:space="0" w:color="auto"/>
              <w:left w:val="nil"/>
              <w:bottom w:val="single" w:sz="4" w:space="0" w:color="auto"/>
              <w:right w:val="single" w:sz="4" w:space="0" w:color="auto"/>
            </w:tcBorders>
            <w:noWrap/>
            <w:vAlign w:val="center"/>
            <w:hideMark/>
          </w:tcPr>
          <w:p w14:paraId="45E29EDF" w14:textId="77777777" w:rsidR="002828AE" w:rsidRPr="002828AE" w:rsidRDefault="002828AE" w:rsidP="002828AE">
            <w:pPr>
              <w:spacing w:after="0" w:line="240" w:lineRule="auto"/>
              <w:jc w:val="center"/>
              <w:rPr>
                <w:rFonts w:ascii="Calibri" w:eastAsia="Times New Roman" w:hAnsi="Calibri" w:cs="Calibri"/>
                <w:b/>
                <w:bCs/>
                <w:color w:val="000000"/>
                <w:kern w:val="0"/>
                <w:sz w:val="22"/>
                <w:szCs w:val="22"/>
                <w:lang w:val="en-CA" w:eastAsia="en-CA"/>
                <w14:ligatures w14:val="none"/>
              </w:rPr>
            </w:pPr>
            <w:r w:rsidRPr="002828AE">
              <w:rPr>
                <w:rFonts w:ascii="Calibri" w:eastAsia="Times New Roman" w:hAnsi="Calibri" w:cs="Calibri"/>
                <w:b/>
                <w:bCs/>
                <w:color w:val="000000"/>
                <w:kern w:val="0"/>
                <w:sz w:val="22"/>
                <w:szCs w:val="22"/>
                <w:lang w:val="en-CA" w:eastAsia="en-CA"/>
                <w14:ligatures w14:val="none"/>
              </w:rPr>
              <w:t>Elevation</w:t>
            </w:r>
          </w:p>
        </w:tc>
        <w:tc>
          <w:tcPr>
            <w:tcW w:w="860" w:type="dxa"/>
            <w:tcBorders>
              <w:top w:val="single" w:sz="4" w:space="0" w:color="auto"/>
              <w:left w:val="nil"/>
              <w:bottom w:val="single" w:sz="4" w:space="0" w:color="auto"/>
              <w:right w:val="single" w:sz="4" w:space="0" w:color="auto"/>
            </w:tcBorders>
            <w:noWrap/>
            <w:vAlign w:val="center"/>
            <w:hideMark/>
          </w:tcPr>
          <w:p w14:paraId="21F5A2D6" w14:textId="77777777" w:rsidR="002828AE" w:rsidRPr="002828AE" w:rsidRDefault="002828AE" w:rsidP="002828AE">
            <w:pPr>
              <w:spacing w:after="0" w:line="240" w:lineRule="auto"/>
              <w:jc w:val="center"/>
              <w:rPr>
                <w:rFonts w:ascii="Calibri" w:eastAsia="Times New Roman" w:hAnsi="Calibri" w:cs="Calibri"/>
                <w:b/>
                <w:bCs/>
                <w:color w:val="000000"/>
                <w:kern w:val="0"/>
                <w:sz w:val="22"/>
                <w:szCs w:val="22"/>
                <w:lang w:val="en-CA" w:eastAsia="en-CA"/>
                <w14:ligatures w14:val="none"/>
              </w:rPr>
            </w:pPr>
            <w:r w:rsidRPr="002828AE">
              <w:rPr>
                <w:rFonts w:ascii="Calibri" w:eastAsia="Times New Roman" w:hAnsi="Calibri" w:cs="Calibri"/>
                <w:b/>
                <w:bCs/>
                <w:color w:val="000000"/>
                <w:kern w:val="0"/>
                <w:sz w:val="22"/>
                <w:szCs w:val="22"/>
                <w:lang w:val="en-CA" w:eastAsia="en-CA"/>
                <w14:ligatures w14:val="none"/>
              </w:rPr>
              <w:t>Azimuth</w:t>
            </w:r>
          </w:p>
        </w:tc>
        <w:tc>
          <w:tcPr>
            <w:tcW w:w="400" w:type="dxa"/>
            <w:tcBorders>
              <w:top w:val="single" w:sz="4" w:space="0" w:color="auto"/>
              <w:left w:val="nil"/>
              <w:bottom w:val="single" w:sz="4" w:space="0" w:color="auto"/>
              <w:right w:val="single" w:sz="4" w:space="0" w:color="auto"/>
            </w:tcBorders>
            <w:noWrap/>
            <w:vAlign w:val="center"/>
            <w:hideMark/>
          </w:tcPr>
          <w:p w14:paraId="6774ACB4" w14:textId="77777777" w:rsidR="002828AE" w:rsidRPr="002828AE" w:rsidRDefault="002828AE" w:rsidP="002828AE">
            <w:pPr>
              <w:spacing w:after="0" w:line="240" w:lineRule="auto"/>
              <w:jc w:val="center"/>
              <w:rPr>
                <w:rFonts w:ascii="Calibri" w:eastAsia="Times New Roman" w:hAnsi="Calibri" w:cs="Calibri"/>
                <w:b/>
                <w:bCs/>
                <w:color w:val="000000"/>
                <w:kern w:val="0"/>
                <w:sz w:val="22"/>
                <w:szCs w:val="22"/>
                <w:lang w:val="en-CA" w:eastAsia="en-CA"/>
                <w14:ligatures w14:val="none"/>
              </w:rPr>
            </w:pPr>
            <w:r w:rsidRPr="002828AE">
              <w:rPr>
                <w:rFonts w:ascii="Calibri" w:eastAsia="Times New Roman" w:hAnsi="Calibri" w:cs="Calibri"/>
                <w:b/>
                <w:bCs/>
                <w:color w:val="000000"/>
                <w:kern w:val="0"/>
                <w:sz w:val="22"/>
                <w:szCs w:val="22"/>
                <w:lang w:val="en-CA" w:eastAsia="en-CA"/>
                <w14:ligatures w14:val="none"/>
              </w:rPr>
              <w:t>Dip</w:t>
            </w:r>
          </w:p>
        </w:tc>
        <w:tc>
          <w:tcPr>
            <w:tcW w:w="1280" w:type="dxa"/>
            <w:tcBorders>
              <w:top w:val="single" w:sz="4" w:space="0" w:color="auto"/>
              <w:left w:val="nil"/>
              <w:bottom w:val="single" w:sz="4" w:space="0" w:color="auto"/>
              <w:right w:val="single" w:sz="4" w:space="0" w:color="auto"/>
            </w:tcBorders>
            <w:noWrap/>
            <w:vAlign w:val="center"/>
            <w:hideMark/>
          </w:tcPr>
          <w:p w14:paraId="021261BE" w14:textId="77777777" w:rsidR="002828AE" w:rsidRPr="002828AE" w:rsidRDefault="002828AE" w:rsidP="002828AE">
            <w:pPr>
              <w:spacing w:after="0" w:line="240" w:lineRule="auto"/>
              <w:jc w:val="center"/>
              <w:rPr>
                <w:rFonts w:ascii="Calibri" w:eastAsia="Times New Roman" w:hAnsi="Calibri" w:cs="Calibri"/>
                <w:b/>
                <w:bCs/>
                <w:color w:val="000000"/>
                <w:kern w:val="0"/>
                <w:sz w:val="22"/>
                <w:szCs w:val="22"/>
                <w:lang w:val="en-CA" w:eastAsia="en-CA"/>
                <w14:ligatures w14:val="none"/>
              </w:rPr>
            </w:pPr>
            <w:r w:rsidRPr="002828AE">
              <w:rPr>
                <w:rFonts w:ascii="Calibri" w:eastAsia="Times New Roman" w:hAnsi="Calibri" w:cs="Calibri"/>
                <w:b/>
                <w:bCs/>
                <w:color w:val="000000"/>
                <w:kern w:val="0"/>
                <w:sz w:val="22"/>
                <w:szCs w:val="22"/>
                <w:lang w:val="en-CA" w:eastAsia="en-CA"/>
                <w14:ligatures w14:val="none"/>
              </w:rPr>
              <w:t>Target Depth</w:t>
            </w:r>
          </w:p>
        </w:tc>
      </w:tr>
      <w:tr w:rsidR="002828AE" w:rsidRPr="002828AE" w14:paraId="40789CB3"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24A87C32"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GEE-26-01</w:t>
            </w:r>
          </w:p>
        </w:tc>
        <w:tc>
          <w:tcPr>
            <w:tcW w:w="760" w:type="dxa"/>
            <w:tcBorders>
              <w:top w:val="nil"/>
              <w:left w:val="nil"/>
              <w:bottom w:val="single" w:sz="4" w:space="0" w:color="auto"/>
              <w:right w:val="single" w:sz="4" w:space="0" w:color="auto"/>
            </w:tcBorders>
            <w:noWrap/>
            <w:vAlign w:val="center"/>
            <w:hideMark/>
          </w:tcPr>
          <w:p w14:paraId="6EB158D6"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592343</w:t>
            </w:r>
          </w:p>
        </w:tc>
        <w:tc>
          <w:tcPr>
            <w:tcW w:w="900" w:type="dxa"/>
            <w:tcBorders>
              <w:top w:val="nil"/>
              <w:left w:val="nil"/>
              <w:bottom w:val="single" w:sz="4" w:space="0" w:color="auto"/>
              <w:right w:val="single" w:sz="4" w:space="0" w:color="auto"/>
            </w:tcBorders>
            <w:noWrap/>
            <w:vAlign w:val="center"/>
            <w:hideMark/>
          </w:tcPr>
          <w:p w14:paraId="24A9FF4F"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6829538</w:t>
            </w:r>
          </w:p>
        </w:tc>
        <w:tc>
          <w:tcPr>
            <w:tcW w:w="940" w:type="dxa"/>
            <w:tcBorders>
              <w:top w:val="nil"/>
              <w:left w:val="nil"/>
              <w:bottom w:val="single" w:sz="4" w:space="0" w:color="auto"/>
              <w:right w:val="single" w:sz="4" w:space="0" w:color="auto"/>
            </w:tcBorders>
            <w:noWrap/>
            <w:vAlign w:val="center"/>
            <w:hideMark/>
          </w:tcPr>
          <w:p w14:paraId="28B42D0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190</w:t>
            </w:r>
          </w:p>
        </w:tc>
        <w:tc>
          <w:tcPr>
            <w:tcW w:w="860" w:type="dxa"/>
            <w:tcBorders>
              <w:top w:val="nil"/>
              <w:left w:val="nil"/>
              <w:bottom w:val="single" w:sz="4" w:space="0" w:color="auto"/>
              <w:right w:val="single" w:sz="4" w:space="0" w:color="auto"/>
            </w:tcBorders>
            <w:noWrap/>
            <w:vAlign w:val="center"/>
            <w:hideMark/>
          </w:tcPr>
          <w:p w14:paraId="2330294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336</w:t>
            </w:r>
          </w:p>
        </w:tc>
        <w:tc>
          <w:tcPr>
            <w:tcW w:w="400" w:type="dxa"/>
            <w:tcBorders>
              <w:top w:val="nil"/>
              <w:left w:val="nil"/>
              <w:bottom w:val="single" w:sz="4" w:space="0" w:color="auto"/>
              <w:right w:val="single" w:sz="4" w:space="0" w:color="auto"/>
            </w:tcBorders>
            <w:noWrap/>
            <w:vAlign w:val="center"/>
            <w:hideMark/>
          </w:tcPr>
          <w:p w14:paraId="09AC6A6E"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60</w:t>
            </w:r>
          </w:p>
        </w:tc>
        <w:tc>
          <w:tcPr>
            <w:tcW w:w="1280" w:type="dxa"/>
            <w:tcBorders>
              <w:top w:val="nil"/>
              <w:left w:val="nil"/>
              <w:bottom w:val="single" w:sz="4" w:space="0" w:color="auto"/>
              <w:right w:val="single" w:sz="4" w:space="0" w:color="auto"/>
            </w:tcBorders>
            <w:noWrap/>
            <w:vAlign w:val="center"/>
            <w:hideMark/>
          </w:tcPr>
          <w:p w14:paraId="367BA513"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175</w:t>
            </w:r>
          </w:p>
        </w:tc>
      </w:tr>
      <w:tr w:rsidR="002828AE" w:rsidRPr="002828AE" w14:paraId="0B0AD363"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6E204DD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GEE-26-02</w:t>
            </w:r>
          </w:p>
        </w:tc>
        <w:tc>
          <w:tcPr>
            <w:tcW w:w="760" w:type="dxa"/>
            <w:tcBorders>
              <w:top w:val="nil"/>
              <w:left w:val="nil"/>
              <w:bottom w:val="single" w:sz="4" w:space="0" w:color="auto"/>
              <w:right w:val="single" w:sz="4" w:space="0" w:color="auto"/>
            </w:tcBorders>
            <w:noWrap/>
            <w:vAlign w:val="center"/>
            <w:hideMark/>
          </w:tcPr>
          <w:p w14:paraId="6857815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592343</w:t>
            </w:r>
          </w:p>
        </w:tc>
        <w:tc>
          <w:tcPr>
            <w:tcW w:w="900" w:type="dxa"/>
            <w:tcBorders>
              <w:top w:val="nil"/>
              <w:left w:val="nil"/>
              <w:bottom w:val="single" w:sz="4" w:space="0" w:color="auto"/>
              <w:right w:val="single" w:sz="4" w:space="0" w:color="auto"/>
            </w:tcBorders>
            <w:noWrap/>
            <w:vAlign w:val="center"/>
            <w:hideMark/>
          </w:tcPr>
          <w:p w14:paraId="00096B5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6829538</w:t>
            </w:r>
          </w:p>
        </w:tc>
        <w:tc>
          <w:tcPr>
            <w:tcW w:w="940" w:type="dxa"/>
            <w:tcBorders>
              <w:top w:val="nil"/>
              <w:left w:val="nil"/>
              <w:bottom w:val="single" w:sz="4" w:space="0" w:color="auto"/>
              <w:right w:val="single" w:sz="4" w:space="0" w:color="auto"/>
            </w:tcBorders>
            <w:noWrap/>
            <w:vAlign w:val="center"/>
            <w:hideMark/>
          </w:tcPr>
          <w:p w14:paraId="04673A01"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190</w:t>
            </w:r>
          </w:p>
        </w:tc>
        <w:tc>
          <w:tcPr>
            <w:tcW w:w="860" w:type="dxa"/>
            <w:tcBorders>
              <w:top w:val="nil"/>
              <w:left w:val="nil"/>
              <w:bottom w:val="single" w:sz="4" w:space="0" w:color="auto"/>
              <w:right w:val="single" w:sz="4" w:space="0" w:color="auto"/>
            </w:tcBorders>
            <w:noWrap/>
            <w:vAlign w:val="center"/>
            <w:hideMark/>
          </w:tcPr>
          <w:p w14:paraId="0728EC9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336</w:t>
            </w:r>
          </w:p>
        </w:tc>
        <w:tc>
          <w:tcPr>
            <w:tcW w:w="400" w:type="dxa"/>
            <w:tcBorders>
              <w:top w:val="nil"/>
              <w:left w:val="nil"/>
              <w:bottom w:val="single" w:sz="4" w:space="0" w:color="auto"/>
              <w:right w:val="single" w:sz="4" w:space="0" w:color="auto"/>
            </w:tcBorders>
            <w:noWrap/>
            <w:vAlign w:val="center"/>
            <w:hideMark/>
          </w:tcPr>
          <w:p w14:paraId="4809352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75</w:t>
            </w:r>
          </w:p>
        </w:tc>
        <w:tc>
          <w:tcPr>
            <w:tcW w:w="1280" w:type="dxa"/>
            <w:tcBorders>
              <w:top w:val="nil"/>
              <w:left w:val="nil"/>
              <w:bottom w:val="single" w:sz="4" w:space="0" w:color="auto"/>
              <w:right w:val="single" w:sz="4" w:space="0" w:color="auto"/>
            </w:tcBorders>
            <w:noWrap/>
            <w:vAlign w:val="center"/>
            <w:hideMark/>
          </w:tcPr>
          <w:p w14:paraId="2448770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250</w:t>
            </w:r>
          </w:p>
        </w:tc>
      </w:tr>
      <w:tr w:rsidR="002828AE" w:rsidRPr="002828AE" w14:paraId="32235FAA"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395C24E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lastRenderedPageBreak/>
              <w:t>GEE-26-03</w:t>
            </w:r>
          </w:p>
        </w:tc>
        <w:tc>
          <w:tcPr>
            <w:tcW w:w="760" w:type="dxa"/>
            <w:tcBorders>
              <w:top w:val="nil"/>
              <w:left w:val="nil"/>
              <w:bottom w:val="single" w:sz="4" w:space="0" w:color="auto"/>
              <w:right w:val="single" w:sz="4" w:space="0" w:color="auto"/>
            </w:tcBorders>
            <w:noWrap/>
            <w:vAlign w:val="center"/>
            <w:hideMark/>
          </w:tcPr>
          <w:p w14:paraId="1F0084A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592436</w:t>
            </w:r>
          </w:p>
        </w:tc>
        <w:tc>
          <w:tcPr>
            <w:tcW w:w="900" w:type="dxa"/>
            <w:tcBorders>
              <w:top w:val="nil"/>
              <w:left w:val="nil"/>
              <w:bottom w:val="single" w:sz="4" w:space="0" w:color="auto"/>
              <w:right w:val="single" w:sz="4" w:space="0" w:color="auto"/>
            </w:tcBorders>
            <w:noWrap/>
            <w:vAlign w:val="center"/>
            <w:hideMark/>
          </w:tcPr>
          <w:p w14:paraId="71ED4F6E"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6829548</w:t>
            </w:r>
          </w:p>
        </w:tc>
        <w:tc>
          <w:tcPr>
            <w:tcW w:w="940" w:type="dxa"/>
            <w:tcBorders>
              <w:top w:val="nil"/>
              <w:left w:val="nil"/>
              <w:bottom w:val="single" w:sz="4" w:space="0" w:color="auto"/>
              <w:right w:val="single" w:sz="4" w:space="0" w:color="auto"/>
            </w:tcBorders>
            <w:noWrap/>
            <w:vAlign w:val="center"/>
            <w:hideMark/>
          </w:tcPr>
          <w:p w14:paraId="380D369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190</w:t>
            </w:r>
          </w:p>
        </w:tc>
        <w:tc>
          <w:tcPr>
            <w:tcW w:w="860" w:type="dxa"/>
            <w:tcBorders>
              <w:top w:val="nil"/>
              <w:left w:val="nil"/>
              <w:bottom w:val="single" w:sz="4" w:space="0" w:color="auto"/>
              <w:right w:val="single" w:sz="4" w:space="0" w:color="auto"/>
            </w:tcBorders>
            <w:noWrap/>
            <w:vAlign w:val="center"/>
            <w:hideMark/>
          </w:tcPr>
          <w:p w14:paraId="6DF3C346"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275</w:t>
            </w:r>
          </w:p>
        </w:tc>
        <w:tc>
          <w:tcPr>
            <w:tcW w:w="400" w:type="dxa"/>
            <w:tcBorders>
              <w:top w:val="nil"/>
              <w:left w:val="nil"/>
              <w:bottom w:val="single" w:sz="4" w:space="0" w:color="auto"/>
              <w:right w:val="single" w:sz="4" w:space="0" w:color="auto"/>
            </w:tcBorders>
            <w:noWrap/>
            <w:vAlign w:val="center"/>
            <w:hideMark/>
          </w:tcPr>
          <w:p w14:paraId="3B9749C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45</w:t>
            </w:r>
          </w:p>
        </w:tc>
        <w:tc>
          <w:tcPr>
            <w:tcW w:w="1280" w:type="dxa"/>
            <w:tcBorders>
              <w:top w:val="nil"/>
              <w:left w:val="nil"/>
              <w:bottom w:val="single" w:sz="4" w:space="0" w:color="auto"/>
              <w:right w:val="single" w:sz="4" w:space="0" w:color="auto"/>
            </w:tcBorders>
            <w:noWrap/>
            <w:vAlign w:val="center"/>
            <w:hideMark/>
          </w:tcPr>
          <w:p w14:paraId="35F5CF6D"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14DCF66C"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1219D926"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GEE-26-04</w:t>
            </w:r>
          </w:p>
        </w:tc>
        <w:tc>
          <w:tcPr>
            <w:tcW w:w="760" w:type="dxa"/>
            <w:tcBorders>
              <w:top w:val="nil"/>
              <w:left w:val="nil"/>
              <w:bottom w:val="single" w:sz="4" w:space="0" w:color="auto"/>
              <w:right w:val="single" w:sz="4" w:space="0" w:color="auto"/>
            </w:tcBorders>
            <w:noWrap/>
            <w:vAlign w:val="center"/>
            <w:hideMark/>
          </w:tcPr>
          <w:p w14:paraId="04AC38DC"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592436</w:t>
            </w:r>
          </w:p>
        </w:tc>
        <w:tc>
          <w:tcPr>
            <w:tcW w:w="900" w:type="dxa"/>
            <w:tcBorders>
              <w:top w:val="nil"/>
              <w:left w:val="nil"/>
              <w:bottom w:val="single" w:sz="4" w:space="0" w:color="auto"/>
              <w:right w:val="single" w:sz="4" w:space="0" w:color="auto"/>
            </w:tcBorders>
            <w:noWrap/>
            <w:vAlign w:val="center"/>
            <w:hideMark/>
          </w:tcPr>
          <w:p w14:paraId="5E0E104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6829548</w:t>
            </w:r>
          </w:p>
        </w:tc>
        <w:tc>
          <w:tcPr>
            <w:tcW w:w="940" w:type="dxa"/>
            <w:tcBorders>
              <w:top w:val="nil"/>
              <w:left w:val="nil"/>
              <w:bottom w:val="single" w:sz="4" w:space="0" w:color="auto"/>
              <w:right w:val="single" w:sz="4" w:space="0" w:color="auto"/>
            </w:tcBorders>
            <w:noWrap/>
            <w:vAlign w:val="center"/>
            <w:hideMark/>
          </w:tcPr>
          <w:p w14:paraId="5C939B7B"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190</w:t>
            </w:r>
          </w:p>
        </w:tc>
        <w:tc>
          <w:tcPr>
            <w:tcW w:w="860" w:type="dxa"/>
            <w:tcBorders>
              <w:top w:val="nil"/>
              <w:left w:val="nil"/>
              <w:bottom w:val="single" w:sz="4" w:space="0" w:color="auto"/>
              <w:right w:val="single" w:sz="4" w:space="0" w:color="auto"/>
            </w:tcBorders>
            <w:noWrap/>
            <w:vAlign w:val="center"/>
            <w:hideMark/>
          </w:tcPr>
          <w:p w14:paraId="25C0AB2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275</w:t>
            </w:r>
          </w:p>
        </w:tc>
        <w:tc>
          <w:tcPr>
            <w:tcW w:w="400" w:type="dxa"/>
            <w:tcBorders>
              <w:top w:val="nil"/>
              <w:left w:val="nil"/>
              <w:bottom w:val="single" w:sz="4" w:space="0" w:color="auto"/>
              <w:right w:val="single" w:sz="4" w:space="0" w:color="auto"/>
            </w:tcBorders>
            <w:noWrap/>
            <w:vAlign w:val="center"/>
            <w:hideMark/>
          </w:tcPr>
          <w:p w14:paraId="6B72DF7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60</w:t>
            </w:r>
          </w:p>
        </w:tc>
        <w:tc>
          <w:tcPr>
            <w:tcW w:w="1280" w:type="dxa"/>
            <w:tcBorders>
              <w:top w:val="nil"/>
              <w:left w:val="nil"/>
              <w:bottom w:val="single" w:sz="4" w:space="0" w:color="auto"/>
              <w:right w:val="single" w:sz="4" w:space="0" w:color="auto"/>
            </w:tcBorders>
            <w:noWrap/>
            <w:vAlign w:val="center"/>
            <w:hideMark/>
          </w:tcPr>
          <w:p w14:paraId="30F3D271"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4F0F9770"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7BE637A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GEE-26-05</w:t>
            </w:r>
          </w:p>
        </w:tc>
        <w:tc>
          <w:tcPr>
            <w:tcW w:w="760" w:type="dxa"/>
            <w:tcBorders>
              <w:top w:val="nil"/>
              <w:left w:val="nil"/>
              <w:bottom w:val="single" w:sz="4" w:space="0" w:color="auto"/>
              <w:right w:val="single" w:sz="4" w:space="0" w:color="auto"/>
            </w:tcBorders>
            <w:noWrap/>
            <w:vAlign w:val="center"/>
            <w:hideMark/>
          </w:tcPr>
          <w:p w14:paraId="49F18770"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592400</w:t>
            </w:r>
          </w:p>
        </w:tc>
        <w:tc>
          <w:tcPr>
            <w:tcW w:w="900" w:type="dxa"/>
            <w:tcBorders>
              <w:top w:val="nil"/>
              <w:left w:val="nil"/>
              <w:bottom w:val="single" w:sz="4" w:space="0" w:color="auto"/>
              <w:right w:val="single" w:sz="4" w:space="0" w:color="auto"/>
            </w:tcBorders>
            <w:noWrap/>
            <w:vAlign w:val="center"/>
            <w:hideMark/>
          </w:tcPr>
          <w:p w14:paraId="51E5AD1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6829650</w:t>
            </w:r>
          </w:p>
        </w:tc>
        <w:tc>
          <w:tcPr>
            <w:tcW w:w="940" w:type="dxa"/>
            <w:tcBorders>
              <w:top w:val="nil"/>
              <w:left w:val="nil"/>
              <w:bottom w:val="single" w:sz="4" w:space="0" w:color="auto"/>
              <w:right w:val="single" w:sz="4" w:space="0" w:color="auto"/>
            </w:tcBorders>
            <w:noWrap/>
            <w:vAlign w:val="center"/>
            <w:hideMark/>
          </w:tcPr>
          <w:p w14:paraId="732DA67D"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190</w:t>
            </w:r>
          </w:p>
        </w:tc>
        <w:tc>
          <w:tcPr>
            <w:tcW w:w="860" w:type="dxa"/>
            <w:tcBorders>
              <w:top w:val="nil"/>
              <w:left w:val="nil"/>
              <w:bottom w:val="single" w:sz="4" w:space="0" w:color="auto"/>
              <w:right w:val="single" w:sz="4" w:space="0" w:color="auto"/>
            </w:tcBorders>
            <w:noWrap/>
            <w:vAlign w:val="center"/>
            <w:hideMark/>
          </w:tcPr>
          <w:p w14:paraId="3958FB8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240</w:t>
            </w:r>
          </w:p>
        </w:tc>
        <w:tc>
          <w:tcPr>
            <w:tcW w:w="400" w:type="dxa"/>
            <w:tcBorders>
              <w:top w:val="nil"/>
              <w:left w:val="nil"/>
              <w:bottom w:val="single" w:sz="4" w:space="0" w:color="auto"/>
              <w:right w:val="single" w:sz="4" w:space="0" w:color="auto"/>
            </w:tcBorders>
            <w:noWrap/>
            <w:vAlign w:val="center"/>
            <w:hideMark/>
          </w:tcPr>
          <w:p w14:paraId="25B6361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45</w:t>
            </w:r>
          </w:p>
        </w:tc>
        <w:tc>
          <w:tcPr>
            <w:tcW w:w="1280" w:type="dxa"/>
            <w:tcBorders>
              <w:top w:val="nil"/>
              <w:left w:val="nil"/>
              <w:bottom w:val="single" w:sz="4" w:space="0" w:color="auto"/>
              <w:right w:val="single" w:sz="4" w:space="0" w:color="auto"/>
            </w:tcBorders>
            <w:noWrap/>
            <w:vAlign w:val="center"/>
            <w:hideMark/>
          </w:tcPr>
          <w:p w14:paraId="5A461E91"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061CAF68"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243179B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GEE-26-06</w:t>
            </w:r>
          </w:p>
        </w:tc>
        <w:tc>
          <w:tcPr>
            <w:tcW w:w="760" w:type="dxa"/>
            <w:tcBorders>
              <w:top w:val="nil"/>
              <w:left w:val="nil"/>
              <w:bottom w:val="single" w:sz="4" w:space="0" w:color="auto"/>
              <w:right w:val="single" w:sz="4" w:space="0" w:color="auto"/>
            </w:tcBorders>
            <w:noWrap/>
            <w:vAlign w:val="center"/>
            <w:hideMark/>
          </w:tcPr>
          <w:p w14:paraId="1916DC50"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592400</w:t>
            </w:r>
          </w:p>
        </w:tc>
        <w:tc>
          <w:tcPr>
            <w:tcW w:w="900" w:type="dxa"/>
            <w:tcBorders>
              <w:top w:val="nil"/>
              <w:left w:val="nil"/>
              <w:bottom w:val="single" w:sz="4" w:space="0" w:color="auto"/>
              <w:right w:val="single" w:sz="4" w:space="0" w:color="auto"/>
            </w:tcBorders>
            <w:noWrap/>
            <w:vAlign w:val="center"/>
            <w:hideMark/>
          </w:tcPr>
          <w:p w14:paraId="1D0EAE73"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6829650</w:t>
            </w:r>
          </w:p>
        </w:tc>
        <w:tc>
          <w:tcPr>
            <w:tcW w:w="940" w:type="dxa"/>
            <w:tcBorders>
              <w:top w:val="nil"/>
              <w:left w:val="nil"/>
              <w:bottom w:val="single" w:sz="4" w:space="0" w:color="auto"/>
              <w:right w:val="single" w:sz="4" w:space="0" w:color="auto"/>
            </w:tcBorders>
            <w:noWrap/>
            <w:vAlign w:val="center"/>
            <w:hideMark/>
          </w:tcPr>
          <w:p w14:paraId="57472CE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190</w:t>
            </w:r>
          </w:p>
        </w:tc>
        <w:tc>
          <w:tcPr>
            <w:tcW w:w="860" w:type="dxa"/>
            <w:tcBorders>
              <w:top w:val="nil"/>
              <w:left w:val="nil"/>
              <w:bottom w:val="single" w:sz="4" w:space="0" w:color="auto"/>
              <w:right w:val="single" w:sz="4" w:space="0" w:color="auto"/>
            </w:tcBorders>
            <w:noWrap/>
            <w:vAlign w:val="center"/>
            <w:hideMark/>
          </w:tcPr>
          <w:p w14:paraId="6092331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240</w:t>
            </w:r>
          </w:p>
        </w:tc>
        <w:tc>
          <w:tcPr>
            <w:tcW w:w="400" w:type="dxa"/>
            <w:tcBorders>
              <w:top w:val="nil"/>
              <w:left w:val="nil"/>
              <w:bottom w:val="single" w:sz="4" w:space="0" w:color="auto"/>
              <w:right w:val="single" w:sz="4" w:space="0" w:color="auto"/>
            </w:tcBorders>
            <w:noWrap/>
            <w:vAlign w:val="center"/>
            <w:hideMark/>
          </w:tcPr>
          <w:p w14:paraId="63BEFAC1"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60</w:t>
            </w:r>
          </w:p>
        </w:tc>
        <w:tc>
          <w:tcPr>
            <w:tcW w:w="1280" w:type="dxa"/>
            <w:tcBorders>
              <w:top w:val="nil"/>
              <w:left w:val="nil"/>
              <w:bottom w:val="single" w:sz="4" w:space="0" w:color="auto"/>
              <w:right w:val="single" w:sz="4" w:space="0" w:color="auto"/>
            </w:tcBorders>
            <w:noWrap/>
            <w:vAlign w:val="center"/>
            <w:hideMark/>
          </w:tcPr>
          <w:p w14:paraId="30A6B28E"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65F7F396"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1581D6A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GEE-26-07</w:t>
            </w:r>
          </w:p>
        </w:tc>
        <w:tc>
          <w:tcPr>
            <w:tcW w:w="760" w:type="dxa"/>
            <w:tcBorders>
              <w:top w:val="nil"/>
              <w:left w:val="nil"/>
              <w:bottom w:val="single" w:sz="4" w:space="0" w:color="auto"/>
              <w:right w:val="single" w:sz="4" w:space="0" w:color="auto"/>
            </w:tcBorders>
            <w:noWrap/>
            <w:vAlign w:val="center"/>
            <w:hideMark/>
          </w:tcPr>
          <w:p w14:paraId="31140B5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592325</w:t>
            </w:r>
          </w:p>
        </w:tc>
        <w:tc>
          <w:tcPr>
            <w:tcW w:w="900" w:type="dxa"/>
            <w:tcBorders>
              <w:top w:val="nil"/>
              <w:left w:val="nil"/>
              <w:bottom w:val="single" w:sz="4" w:space="0" w:color="auto"/>
              <w:right w:val="single" w:sz="4" w:space="0" w:color="auto"/>
            </w:tcBorders>
            <w:noWrap/>
            <w:vAlign w:val="center"/>
            <w:hideMark/>
          </w:tcPr>
          <w:p w14:paraId="690430E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6829700</w:t>
            </w:r>
          </w:p>
        </w:tc>
        <w:tc>
          <w:tcPr>
            <w:tcW w:w="940" w:type="dxa"/>
            <w:tcBorders>
              <w:top w:val="nil"/>
              <w:left w:val="nil"/>
              <w:bottom w:val="single" w:sz="4" w:space="0" w:color="auto"/>
              <w:right w:val="single" w:sz="4" w:space="0" w:color="auto"/>
            </w:tcBorders>
            <w:noWrap/>
            <w:vAlign w:val="center"/>
            <w:hideMark/>
          </w:tcPr>
          <w:p w14:paraId="60D499AE"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190</w:t>
            </w:r>
          </w:p>
        </w:tc>
        <w:tc>
          <w:tcPr>
            <w:tcW w:w="860" w:type="dxa"/>
            <w:tcBorders>
              <w:top w:val="nil"/>
              <w:left w:val="nil"/>
              <w:bottom w:val="single" w:sz="4" w:space="0" w:color="auto"/>
              <w:right w:val="single" w:sz="4" w:space="0" w:color="auto"/>
            </w:tcBorders>
            <w:noWrap/>
            <w:vAlign w:val="center"/>
            <w:hideMark/>
          </w:tcPr>
          <w:p w14:paraId="571895E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205</w:t>
            </w:r>
          </w:p>
        </w:tc>
        <w:tc>
          <w:tcPr>
            <w:tcW w:w="400" w:type="dxa"/>
            <w:tcBorders>
              <w:top w:val="nil"/>
              <w:left w:val="nil"/>
              <w:bottom w:val="single" w:sz="4" w:space="0" w:color="auto"/>
              <w:right w:val="single" w:sz="4" w:space="0" w:color="auto"/>
            </w:tcBorders>
            <w:noWrap/>
            <w:vAlign w:val="center"/>
            <w:hideMark/>
          </w:tcPr>
          <w:p w14:paraId="653BBC1F"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45</w:t>
            </w:r>
          </w:p>
        </w:tc>
        <w:tc>
          <w:tcPr>
            <w:tcW w:w="1280" w:type="dxa"/>
            <w:tcBorders>
              <w:top w:val="nil"/>
              <w:left w:val="nil"/>
              <w:bottom w:val="single" w:sz="4" w:space="0" w:color="auto"/>
              <w:right w:val="single" w:sz="4" w:space="0" w:color="auto"/>
            </w:tcBorders>
            <w:noWrap/>
            <w:vAlign w:val="center"/>
            <w:hideMark/>
          </w:tcPr>
          <w:p w14:paraId="3FACDF1B"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6AF0169E"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7448A71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GEE-26-08</w:t>
            </w:r>
          </w:p>
        </w:tc>
        <w:tc>
          <w:tcPr>
            <w:tcW w:w="760" w:type="dxa"/>
            <w:tcBorders>
              <w:top w:val="nil"/>
              <w:left w:val="nil"/>
              <w:bottom w:val="single" w:sz="4" w:space="0" w:color="auto"/>
              <w:right w:val="single" w:sz="4" w:space="0" w:color="auto"/>
            </w:tcBorders>
            <w:noWrap/>
            <w:vAlign w:val="center"/>
            <w:hideMark/>
          </w:tcPr>
          <w:p w14:paraId="223F2940"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592325</w:t>
            </w:r>
          </w:p>
        </w:tc>
        <w:tc>
          <w:tcPr>
            <w:tcW w:w="900" w:type="dxa"/>
            <w:tcBorders>
              <w:top w:val="nil"/>
              <w:left w:val="nil"/>
              <w:bottom w:val="single" w:sz="4" w:space="0" w:color="auto"/>
              <w:right w:val="single" w:sz="4" w:space="0" w:color="auto"/>
            </w:tcBorders>
            <w:noWrap/>
            <w:vAlign w:val="center"/>
            <w:hideMark/>
          </w:tcPr>
          <w:p w14:paraId="6C1E348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6829700</w:t>
            </w:r>
          </w:p>
        </w:tc>
        <w:tc>
          <w:tcPr>
            <w:tcW w:w="940" w:type="dxa"/>
            <w:tcBorders>
              <w:top w:val="nil"/>
              <w:left w:val="nil"/>
              <w:bottom w:val="single" w:sz="4" w:space="0" w:color="auto"/>
              <w:right w:val="single" w:sz="4" w:space="0" w:color="auto"/>
            </w:tcBorders>
            <w:noWrap/>
            <w:vAlign w:val="center"/>
            <w:hideMark/>
          </w:tcPr>
          <w:p w14:paraId="5DD1BBF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190</w:t>
            </w:r>
          </w:p>
        </w:tc>
        <w:tc>
          <w:tcPr>
            <w:tcW w:w="860" w:type="dxa"/>
            <w:tcBorders>
              <w:top w:val="nil"/>
              <w:left w:val="nil"/>
              <w:bottom w:val="single" w:sz="4" w:space="0" w:color="auto"/>
              <w:right w:val="single" w:sz="4" w:space="0" w:color="auto"/>
            </w:tcBorders>
            <w:noWrap/>
            <w:vAlign w:val="center"/>
            <w:hideMark/>
          </w:tcPr>
          <w:p w14:paraId="5224D110"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205</w:t>
            </w:r>
          </w:p>
        </w:tc>
        <w:tc>
          <w:tcPr>
            <w:tcW w:w="400" w:type="dxa"/>
            <w:tcBorders>
              <w:top w:val="nil"/>
              <w:left w:val="nil"/>
              <w:bottom w:val="single" w:sz="4" w:space="0" w:color="auto"/>
              <w:right w:val="single" w:sz="4" w:space="0" w:color="auto"/>
            </w:tcBorders>
            <w:noWrap/>
            <w:vAlign w:val="center"/>
            <w:hideMark/>
          </w:tcPr>
          <w:p w14:paraId="697546F3"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60</w:t>
            </w:r>
          </w:p>
        </w:tc>
        <w:tc>
          <w:tcPr>
            <w:tcW w:w="1280" w:type="dxa"/>
            <w:tcBorders>
              <w:top w:val="nil"/>
              <w:left w:val="nil"/>
              <w:bottom w:val="single" w:sz="4" w:space="0" w:color="auto"/>
              <w:right w:val="single" w:sz="4" w:space="0" w:color="auto"/>
            </w:tcBorders>
            <w:noWrap/>
            <w:vAlign w:val="center"/>
            <w:hideMark/>
          </w:tcPr>
          <w:p w14:paraId="532FC6F2"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75B8E9A4"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17A08A0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GER-26-09</w:t>
            </w:r>
          </w:p>
        </w:tc>
        <w:tc>
          <w:tcPr>
            <w:tcW w:w="760" w:type="dxa"/>
            <w:tcBorders>
              <w:top w:val="nil"/>
              <w:left w:val="nil"/>
              <w:bottom w:val="single" w:sz="4" w:space="0" w:color="auto"/>
              <w:right w:val="single" w:sz="4" w:space="0" w:color="auto"/>
            </w:tcBorders>
            <w:noWrap/>
            <w:vAlign w:val="center"/>
            <w:hideMark/>
          </w:tcPr>
          <w:p w14:paraId="04DC3EA2"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619919</w:t>
            </w:r>
          </w:p>
        </w:tc>
        <w:tc>
          <w:tcPr>
            <w:tcW w:w="900" w:type="dxa"/>
            <w:tcBorders>
              <w:top w:val="nil"/>
              <w:left w:val="nil"/>
              <w:bottom w:val="single" w:sz="4" w:space="0" w:color="auto"/>
              <w:right w:val="single" w:sz="4" w:space="0" w:color="auto"/>
            </w:tcBorders>
            <w:noWrap/>
            <w:vAlign w:val="center"/>
            <w:hideMark/>
          </w:tcPr>
          <w:p w14:paraId="105B8BA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6837286</w:t>
            </w:r>
          </w:p>
        </w:tc>
        <w:tc>
          <w:tcPr>
            <w:tcW w:w="940" w:type="dxa"/>
            <w:tcBorders>
              <w:top w:val="nil"/>
              <w:left w:val="nil"/>
              <w:bottom w:val="single" w:sz="4" w:space="0" w:color="auto"/>
              <w:right w:val="single" w:sz="4" w:space="0" w:color="auto"/>
            </w:tcBorders>
            <w:noWrap/>
            <w:vAlign w:val="center"/>
            <w:hideMark/>
          </w:tcPr>
          <w:p w14:paraId="2308F4A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172</w:t>
            </w:r>
          </w:p>
        </w:tc>
        <w:tc>
          <w:tcPr>
            <w:tcW w:w="860" w:type="dxa"/>
            <w:tcBorders>
              <w:top w:val="nil"/>
              <w:left w:val="nil"/>
              <w:bottom w:val="single" w:sz="4" w:space="0" w:color="auto"/>
              <w:right w:val="single" w:sz="4" w:space="0" w:color="auto"/>
            </w:tcBorders>
            <w:noWrap/>
            <w:vAlign w:val="center"/>
            <w:hideMark/>
          </w:tcPr>
          <w:p w14:paraId="299EC852"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0</w:t>
            </w:r>
          </w:p>
        </w:tc>
        <w:tc>
          <w:tcPr>
            <w:tcW w:w="400" w:type="dxa"/>
            <w:tcBorders>
              <w:top w:val="nil"/>
              <w:left w:val="nil"/>
              <w:bottom w:val="single" w:sz="4" w:space="0" w:color="auto"/>
              <w:right w:val="single" w:sz="4" w:space="0" w:color="auto"/>
            </w:tcBorders>
            <w:noWrap/>
            <w:vAlign w:val="center"/>
            <w:hideMark/>
          </w:tcPr>
          <w:p w14:paraId="4B77ABDC"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50</w:t>
            </w:r>
          </w:p>
        </w:tc>
        <w:tc>
          <w:tcPr>
            <w:tcW w:w="1280" w:type="dxa"/>
            <w:tcBorders>
              <w:top w:val="nil"/>
              <w:left w:val="nil"/>
              <w:bottom w:val="single" w:sz="4" w:space="0" w:color="auto"/>
              <w:right w:val="single" w:sz="4" w:space="0" w:color="auto"/>
            </w:tcBorders>
            <w:noWrap/>
            <w:vAlign w:val="center"/>
            <w:hideMark/>
          </w:tcPr>
          <w:p w14:paraId="4908E7FE"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189C3845"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51E827C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GER-26-10</w:t>
            </w:r>
          </w:p>
        </w:tc>
        <w:tc>
          <w:tcPr>
            <w:tcW w:w="760" w:type="dxa"/>
            <w:tcBorders>
              <w:top w:val="nil"/>
              <w:left w:val="nil"/>
              <w:bottom w:val="single" w:sz="4" w:space="0" w:color="auto"/>
              <w:right w:val="single" w:sz="4" w:space="0" w:color="auto"/>
            </w:tcBorders>
            <w:noWrap/>
            <w:vAlign w:val="center"/>
            <w:hideMark/>
          </w:tcPr>
          <w:p w14:paraId="524A9FAF"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619919</w:t>
            </w:r>
          </w:p>
        </w:tc>
        <w:tc>
          <w:tcPr>
            <w:tcW w:w="900" w:type="dxa"/>
            <w:tcBorders>
              <w:top w:val="nil"/>
              <w:left w:val="nil"/>
              <w:bottom w:val="single" w:sz="4" w:space="0" w:color="auto"/>
              <w:right w:val="single" w:sz="4" w:space="0" w:color="auto"/>
            </w:tcBorders>
            <w:noWrap/>
            <w:vAlign w:val="center"/>
            <w:hideMark/>
          </w:tcPr>
          <w:p w14:paraId="13DCE4BA"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6837286</w:t>
            </w:r>
          </w:p>
        </w:tc>
        <w:tc>
          <w:tcPr>
            <w:tcW w:w="940" w:type="dxa"/>
            <w:tcBorders>
              <w:top w:val="nil"/>
              <w:left w:val="nil"/>
              <w:bottom w:val="single" w:sz="4" w:space="0" w:color="auto"/>
              <w:right w:val="single" w:sz="4" w:space="0" w:color="auto"/>
            </w:tcBorders>
            <w:noWrap/>
            <w:vAlign w:val="center"/>
            <w:hideMark/>
          </w:tcPr>
          <w:p w14:paraId="1C3F797B"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172</w:t>
            </w:r>
          </w:p>
        </w:tc>
        <w:tc>
          <w:tcPr>
            <w:tcW w:w="860" w:type="dxa"/>
            <w:tcBorders>
              <w:top w:val="nil"/>
              <w:left w:val="nil"/>
              <w:bottom w:val="single" w:sz="4" w:space="0" w:color="auto"/>
              <w:right w:val="single" w:sz="4" w:space="0" w:color="auto"/>
            </w:tcBorders>
            <w:noWrap/>
            <w:vAlign w:val="center"/>
            <w:hideMark/>
          </w:tcPr>
          <w:p w14:paraId="4A24293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180</w:t>
            </w:r>
          </w:p>
        </w:tc>
        <w:tc>
          <w:tcPr>
            <w:tcW w:w="400" w:type="dxa"/>
            <w:tcBorders>
              <w:top w:val="nil"/>
              <w:left w:val="nil"/>
              <w:bottom w:val="single" w:sz="4" w:space="0" w:color="auto"/>
              <w:right w:val="single" w:sz="4" w:space="0" w:color="auto"/>
            </w:tcBorders>
            <w:noWrap/>
            <w:vAlign w:val="center"/>
            <w:hideMark/>
          </w:tcPr>
          <w:p w14:paraId="684E1266"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50</w:t>
            </w:r>
          </w:p>
        </w:tc>
        <w:tc>
          <w:tcPr>
            <w:tcW w:w="1280" w:type="dxa"/>
            <w:tcBorders>
              <w:top w:val="nil"/>
              <w:left w:val="nil"/>
              <w:bottom w:val="single" w:sz="4" w:space="0" w:color="auto"/>
              <w:right w:val="single" w:sz="4" w:space="0" w:color="auto"/>
            </w:tcBorders>
            <w:noWrap/>
            <w:vAlign w:val="center"/>
            <w:hideMark/>
          </w:tcPr>
          <w:p w14:paraId="1624B0B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0012549D"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3C27761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GER-26-11</w:t>
            </w:r>
          </w:p>
        </w:tc>
        <w:tc>
          <w:tcPr>
            <w:tcW w:w="760" w:type="dxa"/>
            <w:tcBorders>
              <w:top w:val="nil"/>
              <w:left w:val="nil"/>
              <w:bottom w:val="single" w:sz="4" w:space="0" w:color="auto"/>
              <w:right w:val="single" w:sz="4" w:space="0" w:color="auto"/>
            </w:tcBorders>
            <w:noWrap/>
            <w:vAlign w:val="center"/>
            <w:hideMark/>
          </w:tcPr>
          <w:p w14:paraId="50EA7E6A"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620030</w:t>
            </w:r>
          </w:p>
        </w:tc>
        <w:tc>
          <w:tcPr>
            <w:tcW w:w="900" w:type="dxa"/>
            <w:tcBorders>
              <w:top w:val="nil"/>
              <w:left w:val="nil"/>
              <w:bottom w:val="single" w:sz="4" w:space="0" w:color="auto"/>
              <w:right w:val="single" w:sz="4" w:space="0" w:color="auto"/>
            </w:tcBorders>
            <w:noWrap/>
            <w:vAlign w:val="center"/>
            <w:hideMark/>
          </w:tcPr>
          <w:p w14:paraId="4F00807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6837253</w:t>
            </w:r>
          </w:p>
        </w:tc>
        <w:tc>
          <w:tcPr>
            <w:tcW w:w="940" w:type="dxa"/>
            <w:tcBorders>
              <w:top w:val="nil"/>
              <w:left w:val="nil"/>
              <w:bottom w:val="single" w:sz="4" w:space="0" w:color="auto"/>
              <w:right w:val="single" w:sz="4" w:space="0" w:color="auto"/>
            </w:tcBorders>
            <w:noWrap/>
            <w:vAlign w:val="center"/>
            <w:hideMark/>
          </w:tcPr>
          <w:p w14:paraId="614D853C"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172</w:t>
            </w:r>
          </w:p>
        </w:tc>
        <w:tc>
          <w:tcPr>
            <w:tcW w:w="860" w:type="dxa"/>
            <w:tcBorders>
              <w:top w:val="nil"/>
              <w:left w:val="nil"/>
              <w:bottom w:val="single" w:sz="4" w:space="0" w:color="auto"/>
              <w:right w:val="single" w:sz="4" w:space="0" w:color="auto"/>
            </w:tcBorders>
            <w:noWrap/>
            <w:vAlign w:val="center"/>
            <w:hideMark/>
          </w:tcPr>
          <w:p w14:paraId="75FD427C"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0</w:t>
            </w:r>
          </w:p>
        </w:tc>
        <w:tc>
          <w:tcPr>
            <w:tcW w:w="400" w:type="dxa"/>
            <w:tcBorders>
              <w:top w:val="nil"/>
              <w:left w:val="nil"/>
              <w:bottom w:val="single" w:sz="4" w:space="0" w:color="auto"/>
              <w:right w:val="single" w:sz="4" w:space="0" w:color="auto"/>
            </w:tcBorders>
            <w:noWrap/>
            <w:vAlign w:val="center"/>
            <w:hideMark/>
          </w:tcPr>
          <w:p w14:paraId="0FEC7A46"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50</w:t>
            </w:r>
          </w:p>
        </w:tc>
        <w:tc>
          <w:tcPr>
            <w:tcW w:w="1280" w:type="dxa"/>
            <w:tcBorders>
              <w:top w:val="nil"/>
              <w:left w:val="nil"/>
              <w:bottom w:val="single" w:sz="4" w:space="0" w:color="auto"/>
              <w:right w:val="single" w:sz="4" w:space="0" w:color="auto"/>
            </w:tcBorders>
            <w:noWrap/>
            <w:vAlign w:val="center"/>
            <w:hideMark/>
          </w:tcPr>
          <w:p w14:paraId="7E1B803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112929AA"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5A44B91D"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GER-26-12</w:t>
            </w:r>
          </w:p>
        </w:tc>
        <w:tc>
          <w:tcPr>
            <w:tcW w:w="760" w:type="dxa"/>
            <w:tcBorders>
              <w:top w:val="nil"/>
              <w:left w:val="nil"/>
              <w:bottom w:val="single" w:sz="4" w:space="0" w:color="auto"/>
              <w:right w:val="single" w:sz="4" w:space="0" w:color="auto"/>
            </w:tcBorders>
            <w:noWrap/>
            <w:vAlign w:val="center"/>
            <w:hideMark/>
          </w:tcPr>
          <w:p w14:paraId="197E829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620030</w:t>
            </w:r>
          </w:p>
        </w:tc>
        <w:tc>
          <w:tcPr>
            <w:tcW w:w="900" w:type="dxa"/>
            <w:tcBorders>
              <w:top w:val="nil"/>
              <w:left w:val="nil"/>
              <w:bottom w:val="single" w:sz="4" w:space="0" w:color="auto"/>
              <w:right w:val="single" w:sz="4" w:space="0" w:color="auto"/>
            </w:tcBorders>
            <w:noWrap/>
            <w:vAlign w:val="center"/>
            <w:hideMark/>
          </w:tcPr>
          <w:p w14:paraId="25641E3E"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6837253</w:t>
            </w:r>
          </w:p>
        </w:tc>
        <w:tc>
          <w:tcPr>
            <w:tcW w:w="940" w:type="dxa"/>
            <w:tcBorders>
              <w:top w:val="nil"/>
              <w:left w:val="nil"/>
              <w:bottom w:val="single" w:sz="4" w:space="0" w:color="auto"/>
              <w:right w:val="single" w:sz="4" w:space="0" w:color="auto"/>
            </w:tcBorders>
            <w:noWrap/>
            <w:vAlign w:val="center"/>
            <w:hideMark/>
          </w:tcPr>
          <w:p w14:paraId="0CE8E60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172</w:t>
            </w:r>
          </w:p>
        </w:tc>
        <w:tc>
          <w:tcPr>
            <w:tcW w:w="860" w:type="dxa"/>
            <w:tcBorders>
              <w:top w:val="nil"/>
              <w:left w:val="nil"/>
              <w:bottom w:val="single" w:sz="4" w:space="0" w:color="auto"/>
              <w:right w:val="single" w:sz="4" w:space="0" w:color="auto"/>
            </w:tcBorders>
            <w:noWrap/>
            <w:vAlign w:val="center"/>
            <w:hideMark/>
          </w:tcPr>
          <w:p w14:paraId="5DCD422E"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180</w:t>
            </w:r>
          </w:p>
        </w:tc>
        <w:tc>
          <w:tcPr>
            <w:tcW w:w="400" w:type="dxa"/>
            <w:tcBorders>
              <w:top w:val="nil"/>
              <w:left w:val="nil"/>
              <w:bottom w:val="single" w:sz="4" w:space="0" w:color="auto"/>
              <w:right w:val="single" w:sz="4" w:space="0" w:color="auto"/>
            </w:tcBorders>
            <w:noWrap/>
            <w:vAlign w:val="center"/>
            <w:hideMark/>
          </w:tcPr>
          <w:p w14:paraId="2670BBEC"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50</w:t>
            </w:r>
          </w:p>
        </w:tc>
        <w:tc>
          <w:tcPr>
            <w:tcW w:w="1280" w:type="dxa"/>
            <w:tcBorders>
              <w:top w:val="nil"/>
              <w:left w:val="nil"/>
              <w:bottom w:val="single" w:sz="4" w:space="0" w:color="auto"/>
              <w:right w:val="single" w:sz="4" w:space="0" w:color="auto"/>
            </w:tcBorders>
            <w:noWrap/>
            <w:vAlign w:val="center"/>
            <w:hideMark/>
          </w:tcPr>
          <w:p w14:paraId="4DE62513"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62CB78F1"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7330177A"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GER-26-13</w:t>
            </w:r>
          </w:p>
        </w:tc>
        <w:tc>
          <w:tcPr>
            <w:tcW w:w="760" w:type="dxa"/>
            <w:tcBorders>
              <w:top w:val="nil"/>
              <w:left w:val="nil"/>
              <w:bottom w:val="single" w:sz="4" w:space="0" w:color="auto"/>
              <w:right w:val="single" w:sz="4" w:space="0" w:color="auto"/>
            </w:tcBorders>
            <w:noWrap/>
            <w:vAlign w:val="center"/>
            <w:hideMark/>
          </w:tcPr>
          <w:p w14:paraId="1701906B"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620199</w:t>
            </w:r>
          </w:p>
        </w:tc>
        <w:tc>
          <w:tcPr>
            <w:tcW w:w="900" w:type="dxa"/>
            <w:tcBorders>
              <w:top w:val="nil"/>
              <w:left w:val="nil"/>
              <w:bottom w:val="single" w:sz="4" w:space="0" w:color="auto"/>
              <w:right w:val="single" w:sz="4" w:space="0" w:color="auto"/>
            </w:tcBorders>
            <w:noWrap/>
            <w:vAlign w:val="center"/>
            <w:hideMark/>
          </w:tcPr>
          <w:p w14:paraId="320E1E55"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6837411</w:t>
            </w:r>
          </w:p>
        </w:tc>
        <w:tc>
          <w:tcPr>
            <w:tcW w:w="940" w:type="dxa"/>
            <w:tcBorders>
              <w:top w:val="nil"/>
              <w:left w:val="nil"/>
              <w:bottom w:val="single" w:sz="4" w:space="0" w:color="auto"/>
              <w:right w:val="single" w:sz="4" w:space="0" w:color="auto"/>
            </w:tcBorders>
            <w:noWrap/>
            <w:vAlign w:val="center"/>
            <w:hideMark/>
          </w:tcPr>
          <w:p w14:paraId="62AE64F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179</w:t>
            </w:r>
          </w:p>
        </w:tc>
        <w:tc>
          <w:tcPr>
            <w:tcW w:w="860" w:type="dxa"/>
            <w:tcBorders>
              <w:top w:val="nil"/>
              <w:left w:val="nil"/>
              <w:bottom w:val="single" w:sz="4" w:space="0" w:color="auto"/>
              <w:right w:val="single" w:sz="4" w:space="0" w:color="auto"/>
            </w:tcBorders>
            <w:noWrap/>
            <w:vAlign w:val="center"/>
            <w:hideMark/>
          </w:tcPr>
          <w:p w14:paraId="57643983"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0</w:t>
            </w:r>
          </w:p>
        </w:tc>
        <w:tc>
          <w:tcPr>
            <w:tcW w:w="400" w:type="dxa"/>
            <w:tcBorders>
              <w:top w:val="nil"/>
              <w:left w:val="nil"/>
              <w:bottom w:val="single" w:sz="4" w:space="0" w:color="auto"/>
              <w:right w:val="single" w:sz="4" w:space="0" w:color="auto"/>
            </w:tcBorders>
            <w:noWrap/>
            <w:vAlign w:val="center"/>
            <w:hideMark/>
          </w:tcPr>
          <w:p w14:paraId="3AFF3201"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50</w:t>
            </w:r>
          </w:p>
        </w:tc>
        <w:tc>
          <w:tcPr>
            <w:tcW w:w="1280" w:type="dxa"/>
            <w:tcBorders>
              <w:top w:val="nil"/>
              <w:left w:val="nil"/>
              <w:bottom w:val="single" w:sz="4" w:space="0" w:color="auto"/>
              <w:right w:val="single" w:sz="4" w:space="0" w:color="auto"/>
            </w:tcBorders>
            <w:noWrap/>
            <w:vAlign w:val="center"/>
            <w:hideMark/>
          </w:tcPr>
          <w:p w14:paraId="6B2E1AEA"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7AF1F8AB"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32EBB22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GER-26-14</w:t>
            </w:r>
          </w:p>
        </w:tc>
        <w:tc>
          <w:tcPr>
            <w:tcW w:w="760" w:type="dxa"/>
            <w:tcBorders>
              <w:top w:val="nil"/>
              <w:left w:val="nil"/>
              <w:bottom w:val="single" w:sz="4" w:space="0" w:color="auto"/>
              <w:right w:val="single" w:sz="4" w:space="0" w:color="auto"/>
            </w:tcBorders>
            <w:noWrap/>
            <w:vAlign w:val="center"/>
            <w:hideMark/>
          </w:tcPr>
          <w:p w14:paraId="171E84FF"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620199</w:t>
            </w:r>
          </w:p>
        </w:tc>
        <w:tc>
          <w:tcPr>
            <w:tcW w:w="900" w:type="dxa"/>
            <w:tcBorders>
              <w:top w:val="nil"/>
              <w:left w:val="nil"/>
              <w:bottom w:val="single" w:sz="4" w:space="0" w:color="auto"/>
              <w:right w:val="single" w:sz="4" w:space="0" w:color="auto"/>
            </w:tcBorders>
            <w:noWrap/>
            <w:vAlign w:val="center"/>
            <w:hideMark/>
          </w:tcPr>
          <w:p w14:paraId="08E0E3A9"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6837411</w:t>
            </w:r>
          </w:p>
        </w:tc>
        <w:tc>
          <w:tcPr>
            <w:tcW w:w="940" w:type="dxa"/>
            <w:tcBorders>
              <w:top w:val="nil"/>
              <w:left w:val="nil"/>
              <w:bottom w:val="single" w:sz="4" w:space="0" w:color="auto"/>
              <w:right w:val="single" w:sz="4" w:space="0" w:color="auto"/>
            </w:tcBorders>
            <w:noWrap/>
            <w:vAlign w:val="center"/>
            <w:hideMark/>
          </w:tcPr>
          <w:p w14:paraId="368A86A3"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179</w:t>
            </w:r>
          </w:p>
        </w:tc>
        <w:tc>
          <w:tcPr>
            <w:tcW w:w="860" w:type="dxa"/>
            <w:tcBorders>
              <w:top w:val="nil"/>
              <w:left w:val="nil"/>
              <w:bottom w:val="single" w:sz="4" w:space="0" w:color="auto"/>
              <w:right w:val="single" w:sz="4" w:space="0" w:color="auto"/>
            </w:tcBorders>
            <w:noWrap/>
            <w:vAlign w:val="center"/>
            <w:hideMark/>
          </w:tcPr>
          <w:p w14:paraId="7B5BF68D"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180</w:t>
            </w:r>
          </w:p>
        </w:tc>
        <w:tc>
          <w:tcPr>
            <w:tcW w:w="400" w:type="dxa"/>
            <w:tcBorders>
              <w:top w:val="nil"/>
              <w:left w:val="nil"/>
              <w:bottom w:val="single" w:sz="4" w:space="0" w:color="auto"/>
              <w:right w:val="single" w:sz="4" w:space="0" w:color="auto"/>
            </w:tcBorders>
            <w:noWrap/>
            <w:vAlign w:val="center"/>
            <w:hideMark/>
          </w:tcPr>
          <w:p w14:paraId="120E692D"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50</w:t>
            </w:r>
          </w:p>
        </w:tc>
        <w:tc>
          <w:tcPr>
            <w:tcW w:w="1280" w:type="dxa"/>
            <w:tcBorders>
              <w:top w:val="nil"/>
              <w:left w:val="nil"/>
              <w:bottom w:val="single" w:sz="4" w:space="0" w:color="auto"/>
              <w:right w:val="single" w:sz="4" w:space="0" w:color="auto"/>
            </w:tcBorders>
            <w:noWrap/>
            <w:vAlign w:val="center"/>
            <w:hideMark/>
          </w:tcPr>
          <w:p w14:paraId="4DE590D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4008EF9B"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2FDDA84A"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GER-26-15</w:t>
            </w:r>
          </w:p>
        </w:tc>
        <w:tc>
          <w:tcPr>
            <w:tcW w:w="760" w:type="dxa"/>
            <w:tcBorders>
              <w:top w:val="nil"/>
              <w:left w:val="nil"/>
              <w:bottom w:val="single" w:sz="4" w:space="0" w:color="auto"/>
              <w:right w:val="single" w:sz="4" w:space="0" w:color="auto"/>
            </w:tcBorders>
            <w:noWrap/>
            <w:vAlign w:val="center"/>
            <w:hideMark/>
          </w:tcPr>
          <w:p w14:paraId="658DF593"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620189</w:t>
            </w:r>
          </w:p>
        </w:tc>
        <w:tc>
          <w:tcPr>
            <w:tcW w:w="900" w:type="dxa"/>
            <w:tcBorders>
              <w:top w:val="nil"/>
              <w:left w:val="nil"/>
              <w:bottom w:val="single" w:sz="4" w:space="0" w:color="auto"/>
              <w:right w:val="single" w:sz="4" w:space="0" w:color="auto"/>
            </w:tcBorders>
            <w:noWrap/>
            <w:vAlign w:val="center"/>
            <w:hideMark/>
          </w:tcPr>
          <w:p w14:paraId="1212E850"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6837940</w:t>
            </w:r>
          </w:p>
        </w:tc>
        <w:tc>
          <w:tcPr>
            <w:tcW w:w="940" w:type="dxa"/>
            <w:tcBorders>
              <w:top w:val="nil"/>
              <w:left w:val="nil"/>
              <w:bottom w:val="single" w:sz="4" w:space="0" w:color="auto"/>
              <w:right w:val="single" w:sz="4" w:space="0" w:color="auto"/>
            </w:tcBorders>
            <w:noWrap/>
            <w:vAlign w:val="center"/>
            <w:hideMark/>
          </w:tcPr>
          <w:p w14:paraId="7A670BB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184</w:t>
            </w:r>
          </w:p>
        </w:tc>
        <w:tc>
          <w:tcPr>
            <w:tcW w:w="860" w:type="dxa"/>
            <w:tcBorders>
              <w:top w:val="nil"/>
              <w:left w:val="nil"/>
              <w:bottom w:val="single" w:sz="4" w:space="0" w:color="auto"/>
              <w:right w:val="single" w:sz="4" w:space="0" w:color="auto"/>
            </w:tcBorders>
            <w:noWrap/>
            <w:vAlign w:val="center"/>
            <w:hideMark/>
          </w:tcPr>
          <w:p w14:paraId="5E3976B2"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0</w:t>
            </w:r>
          </w:p>
        </w:tc>
        <w:tc>
          <w:tcPr>
            <w:tcW w:w="400" w:type="dxa"/>
            <w:tcBorders>
              <w:top w:val="nil"/>
              <w:left w:val="nil"/>
              <w:bottom w:val="single" w:sz="4" w:space="0" w:color="auto"/>
              <w:right w:val="single" w:sz="4" w:space="0" w:color="auto"/>
            </w:tcBorders>
            <w:noWrap/>
            <w:vAlign w:val="center"/>
            <w:hideMark/>
          </w:tcPr>
          <w:p w14:paraId="5D8B7762"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50</w:t>
            </w:r>
          </w:p>
        </w:tc>
        <w:tc>
          <w:tcPr>
            <w:tcW w:w="1280" w:type="dxa"/>
            <w:tcBorders>
              <w:top w:val="nil"/>
              <w:left w:val="nil"/>
              <w:bottom w:val="single" w:sz="4" w:space="0" w:color="auto"/>
              <w:right w:val="single" w:sz="4" w:space="0" w:color="auto"/>
            </w:tcBorders>
            <w:noWrap/>
            <w:vAlign w:val="center"/>
            <w:hideMark/>
          </w:tcPr>
          <w:p w14:paraId="4A6FD9F2"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r w:rsidR="002828AE" w:rsidRPr="002828AE" w14:paraId="05599473" w14:textId="77777777" w:rsidTr="002828AE">
        <w:trPr>
          <w:trHeight w:val="290"/>
          <w:jc w:val="center"/>
        </w:trPr>
        <w:tc>
          <w:tcPr>
            <w:tcW w:w="1460" w:type="dxa"/>
            <w:tcBorders>
              <w:top w:val="nil"/>
              <w:left w:val="single" w:sz="4" w:space="0" w:color="auto"/>
              <w:bottom w:val="single" w:sz="4" w:space="0" w:color="auto"/>
              <w:right w:val="single" w:sz="4" w:space="0" w:color="auto"/>
            </w:tcBorders>
            <w:noWrap/>
            <w:vAlign w:val="center"/>
            <w:hideMark/>
          </w:tcPr>
          <w:p w14:paraId="31DCED38"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GER-26-16</w:t>
            </w:r>
          </w:p>
        </w:tc>
        <w:tc>
          <w:tcPr>
            <w:tcW w:w="760" w:type="dxa"/>
            <w:tcBorders>
              <w:top w:val="nil"/>
              <w:left w:val="nil"/>
              <w:bottom w:val="single" w:sz="4" w:space="0" w:color="auto"/>
              <w:right w:val="single" w:sz="4" w:space="0" w:color="auto"/>
            </w:tcBorders>
            <w:noWrap/>
            <w:vAlign w:val="center"/>
            <w:hideMark/>
          </w:tcPr>
          <w:p w14:paraId="03854401"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620189</w:t>
            </w:r>
          </w:p>
        </w:tc>
        <w:tc>
          <w:tcPr>
            <w:tcW w:w="900" w:type="dxa"/>
            <w:tcBorders>
              <w:top w:val="nil"/>
              <w:left w:val="nil"/>
              <w:bottom w:val="single" w:sz="4" w:space="0" w:color="auto"/>
              <w:right w:val="single" w:sz="4" w:space="0" w:color="auto"/>
            </w:tcBorders>
            <w:noWrap/>
            <w:vAlign w:val="center"/>
            <w:hideMark/>
          </w:tcPr>
          <w:p w14:paraId="2A8E98DB"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6837940</w:t>
            </w:r>
          </w:p>
        </w:tc>
        <w:tc>
          <w:tcPr>
            <w:tcW w:w="940" w:type="dxa"/>
            <w:tcBorders>
              <w:top w:val="nil"/>
              <w:left w:val="nil"/>
              <w:bottom w:val="single" w:sz="4" w:space="0" w:color="auto"/>
              <w:right w:val="single" w:sz="4" w:space="0" w:color="auto"/>
            </w:tcBorders>
            <w:noWrap/>
            <w:vAlign w:val="center"/>
            <w:hideMark/>
          </w:tcPr>
          <w:p w14:paraId="3B8ACFC4"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184</w:t>
            </w:r>
          </w:p>
        </w:tc>
        <w:tc>
          <w:tcPr>
            <w:tcW w:w="860" w:type="dxa"/>
            <w:tcBorders>
              <w:top w:val="nil"/>
              <w:left w:val="nil"/>
              <w:bottom w:val="single" w:sz="4" w:space="0" w:color="auto"/>
              <w:right w:val="single" w:sz="4" w:space="0" w:color="auto"/>
            </w:tcBorders>
            <w:noWrap/>
            <w:vAlign w:val="center"/>
            <w:hideMark/>
          </w:tcPr>
          <w:p w14:paraId="5751739C"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180</w:t>
            </w:r>
          </w:p>
        </w:tc>
        <w:tc>
          <w:tcPr>
            <w:tcW w:w="400" w:type="dxa"/>
            <w:tcBorders>
              <w:top w:val="nil"/>
              <w:left w:val="nil"/>
              <w:bottom w:val="single" w:sz="4" w:space="0" w:color="auto"/>
              <w:right w:val="single" w:sz="4" w:space="0" w:color="auto"/>
            </w:tcBorders>
            <w:noWrap/>
            <w:vAlign w:val="center"/>
            <w:hideMark/>
          </w:tcPr>
          <w:p w14:paraId="6ACD069B"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50</w:t>
            </w:r>
          </w:p>
        </w:tc>
        <w:tc>
          <w:tcPr>
            <w:tcW w:w="1280" w:type="dxa"/>
            <w:tcBorders>
              <w:top w:val="nil"/>
              <w:left w:val="nil"/>
              <w:bottom w:val="single" w:sz="4" w:space="0" w:color="auto"/>
              <w:right w:val="single" w:sz="4" w:space="0" w:color="auto"/>
            </w:tcBorders>
            <w:noWrap/>
            <w:vAlign w:val="center"/>
            <w:hideMark/>
          </w:tcPr>
          <w:p w14:paraId="56834777" w14:textId="77777777" w:rsidR="002828AE" w:rsidRPr="002828AE" w:rsidRDefault="002828AE" w:rsidP="002828AE">
            <w:pPr>
              <w:spacing w:after="0" w:line="240" w:lineRule="auto"/>
              <w:jc w:val="center"/>
              <w:rPr>
                <w:rFonts w:ascii="Calibri" w:eastAsia="Times New Roman" w:hAnsi="Calibri" w:cs="Calibri"/>
                <w:color w:val="000000"/>
                <w:kern w:val="0"/>
                <w:sz w:val="22"/>
                <w:szCs w:val="22"/>
                <w:lang w:val="en-CA" w:eastAsia="en-CA"/>
                <w14:ligatures w14:val="none"/>
              </w:rPr>
            </w:pPr>
            <w:r w:rsidRPr="002828AE">
              <w:rPr>
                <w:rFonts w:ascii="Calibri" w:eastAsia="Times New Roman" w:hAnsi="Calibri" w:cs="Calibri"/>
                <w:color w:val="000000"/>
                <w:kern w:val="0"/>
                <w:sz w:val="22"/>
                <w:szCs w:val="22"/>
                <w:lang w:val="en-CA" w:eastAsia="en-CA"/>
                <w14:ligatures w14:val="none"/>
              </w:rPr>
              <w:t>200</w:t>
            </w:r>
          </w:p>
        </w:tc>
      </w:tr>
    </w:tbl>
    <w:p w14:paraId="1A9FC980" w14:textId="77777777" w:rsidR="002828AE" w:rsidRPr="00C869EC" w:rsidRDefault="002828AE" w:rsidP="00C869EC"/>
    <w:p w14:paraId="7E214511" w14:textId="77777777" w:rsidR="00C869EC" w:rsidRPr="00C869EC" w:rsidRDefault="00C869EC" w:rsidP="00C869EC">
      <w:pPr>
        <w:rPr>
          <w:b/>
          <w:bCs/>
        </w:rPr>
      </w:pPr>
      <w:r w:rsidRPr="00C869EC">
        <w:rPr>
          <w:b/>
          <w:bCs/>
        </w:rPr>
        <w:t>2.2 Sumps</w:t>
      </w:r>
    </w:p>
    <w:p w14:paraId="5D63992E" w14:textId="77777777" w:rsidR="00C869EC" w:rsidRPr="00C869EC" w:rsidRDefault="00C869EC" w:rsidP="00C869EC">
      <w:r w:rsidRPr="00C869EC">
        <w:t>Up to three (3) drill sumps may be active at any given time.</w:t>
      </w:r>
    </w:p>
    <w:p w14:paraId="50F86B3A" w14:textId="0E00EA02" w:rsidR="00C869EC" w:rsidRPr="00C869EC" w:rsidRDefault="00C869EC" w:rsidP="00C869EC">
      <w:r w:rsidRPr="00C869EC">
        <w:t xml:space="preserve">Approximate volume per sump: </w:t>
      </w:r>
      <w:r w:rsidR="0021344F">
        <w:t>13.5</w:t>
      </w:r>
      <w:r w:rsidRPr="00C869EC">
        <w:t xml:space="preserve"> m³.</w:t>
      </w:r>
    </w:p>
    <w:p w14:paraId="65367107" w14:textId="77777777" w:rsidR="00C869EC" w:rsidRPr="00C869EC" w:rsidRDefault="00C869EC" w:rsidP="00C869EC">
      <w:r w:rsidRPr="00C869EC">
        <w:t>Sumps will be excavated using a small mini track hoe confined to drill pad areas. Sumps will:</w:t>
      </w:r>
    </w:p>
    <w:p w14:paraId="749AF507" w14:textId="77777777" w:rsidR="00C869EC" w:rsidRPr="00C869EC" w:rsidRDefault="00C869EC" w:rsidP="00C869EC">
      <w:pPr>
        <w:numPr>
          <w:ilvl w:val="0"/>
          <w:numId w:val="4"/>
        </w:numPr>
      </w:pPr>
      <w:r w:rsidRPr="00C869EC">
        <w:t>Contain drill cuttings;</w:t>
      </w:r>
    </w:p>
    <w:p w14:paraId="77B7056D" w14:textId="77777777" w:rsidR="00C869EC" w:rsidRPr="00C869EC" w:rsidRDefault="00C869EC" w:rsidP="00C869EC">
      <w:pPr>
        <w:numPr>
          <w:ilvl w:val="0"/>
          <w:numId w:val="4"/>
        </w:numPr>
      </w:pPr>
      <w:r w:rsidRPr="00C869EC">
        <w:t>Facilitate settlement of solids;</w:t>
      </w:r>
    </w:p>
    <w:p w14:paraId="4358186A" w14:textId="77777777" w:rsidR="00C869EC" w:rsidRPr="00C869EC" w:rsidRDefault="00C869EC" w:rsidP="00C869EC">
      <w:pPr>
        <w:numPr>
          <w:ilvl w:val="0"/>
          <w:numId w:val="4"/>
        </w:numPr>
      </w:pPr>
      <w:r w:rsidRPr="00C869EC">
        <w:t>Support closed-loop recirculation of drill water.</w:t>
      </w:r>
    </w:p>
    <w:p w14:paraId="25AD710D" w14:textId="77777777" w:rsidR="00C869EC" w:rsidRPr="00C869EC" w:rsidRDefault="00C869EC" w:rsidP="00C869EC">
      <w:r w:rsidRPr="00C869EC">
        <w:t>Following completion of drilling at each location, sumps will be backfilled and stabilized to restore surface contours as closely as practicable.</w:t>
      </w:r>
    </w:p>
    <w:p w14:paraId="09D6D1B3" w14:textId="42B29167" w:rsidR="00C869EC" w:rsidRPr="00C869EC" w:rsidRDefault="00C869EC" w:rsidP="00C869EC">
      <w:pPr>
        <w:rPr>
          <w:b/>
          <w:bCs/>
        </w:rPr>
      </w:pPr>
      <w:r w:rsidRPr="00C869EC">
        <w:rPr>
          <w:b/>
          <w:bCs/>
        </w:rPr>
        <w:t>2.3 Seasonal Infrastructure</w:t>
      </w:r>
    </w:p>
    <w:p w14:paraId="09CA4FC6" w14:textId="7EFE2F92" w:rsidR="002828AE" w:rsidRDefault="002828AE" w:rsidP="00C869EC">
      <w:r>
        <w:t xml:space="preserve">Three potential camp locations have been identified in case one or two are unfeasible. </w:t>
      </w:r>
    </w:p>
    <w:p w14:paraId="11376891" w14:textId="5780F881" w:rsidR="00C869EC" w:rsidRPr="00C869EC" w:rsidRDefault="00C869EC" w:rsidP="00C869EC">
      <w:r w:rsidRPr="00C869EC">
        <w:t>Temporary infrastructure associated with the 2026 drilling program includes:</w:t>
      </w:r>
    </w:p>
    <w:p w14:paraId="15B3406B" w14:textId="77777777" w:rsidR="00C869EC" w:rsidRDefault="00C869EC" w:rsidP="00C869EC">
      <w:pPr>
        <w:numPr>
          <w:ilvl w:val="0"/>
          <w:numId w:val="5"/>
        </w:numPr>
      </w:pPr>
      <w:r w:rsidRPr="00C869EC">
        <w:t>Core logging facility tent frame (approximately 14 ft × 16 ft or 16 ft × 20 ft);</w:t>
      </w:r>
    </w:p>
    <w:p w14:paraId="1259CCB0" w14:textId="7F3DA62B" w:rsidR="002828AE" w:rsidRDefault="002828AE" w:rsidP="00C869EC">
      <w:pPr>
        <w:numPr>
          <w:ilvl w:val="0"/>
          <w:numId w:val="5"/>
        </w:numPr>
      </w:pPr>
      <w:r>
        <w:t xml:space="preserve">Kitchen tent </w:t>
      </w:r>
      <w:r w:rsidRPr="00C869EC">
        <w:t>(approximately 16 ft × 20 ft)</w:t>
      </w:r>
    </w:p>
    <w:p w14:paraId="7759A902" w14:textId="79AAFEAF" w:rsidR="002828AE" w:rsidRDefault="002828AE" w:rsidP="00C869EC">
      <w:pPr>
        <w:numPr>
          <w:ilvl w:val="0"/>
          <w:numId w:val="5"/>
        </w:numPr>
      </w:pPr>
      <w:r>
        <w:t xml:space="preserve">Drillers dry </w:t>
      </w:r>
      <w:r w:rsidRPr="00C869EC">
        <w:t>(approximately 16 ft × 20 ft)</w:t>
      </w:r>
    </w:p>
    <w:p w14:paraId="4AA92E7E" w14:textId="375E2382" w:rsidR="002828AE" w:rsidRDefault="002828AE" w:rsidP="00C869EC">
      <w:pPr>
        <w:numPr>
          <w:ilvl w:val="0"/>
          <w:numId w:val="5"/>
        </w:numPr>
      </w:pPr>
      <w:r>
        <w:t xml:space="preserve">First aid tent </w:t>
      </w:r>
      <w:r w:rsidRPr="00C869EC">
        <w:t>(approximately 16 ft × 20 ft)</w:t>
      </w:r>
    </w:p>
    <w:p w14:paraId="4A7B77A6" w14:textId="6EC30512" w:rsidR="002828AE" w:rsidRPr="00C869EC" w:rsidRDefault="002828AE" w:rsidP="00C869EC">
      <w:pPr>
        <w:numPr>
          <w:ilvl w:val="0"/>
          <w:numId w:val="5"/>
        </w:numPr>
      </w:pPr>
      <w:r>
        <w:t xml:space="preserve">Sleeping tents </w:t>
      </w:r>
      <w:r w:rsidRPr="00C869EC">
        <w:t>(</w:t>
      </w:r>
      <w:r w:rsidR="002C1F13">
        <w:t>4</w:t>
      </w:r>
      <w:r>
        <w:t xml:space="preserve">X </w:t>
      </w:r>
      <w:r w:rsidRPr="00C869EC">
        <w:t>approximately 16 ft × 20 ft)</w:t>
      </w:r>
    </w:p>
    <w:p w14:paraId="18BB1620" w14:textId="7403560B" w:rsidR="00C869EC" w:rsidRDefault="002828AE" w:rsidP="00C869EC">
      <w:pPr>
        <w:numPr>
          <w:ilvl w:val="0"/>
          <w:numId w:val="5"/>
        </w:numPr>
      </w:pPr>
      <w:r>
        <w:lastRenderedPageBreak/>
        <w:t>Office</w:t>
      </w:r>
      <w:r w:rsidR="00C869EC" w:rsidRPr="00C869EC">
        <w:t xml:space="preserve"> tent (approximately 16 ft × 20 ft);</w:t>
      </w:r>
    </w:p>
    <w:p w14:paraId="5B3D6121" w14:textId="2B05C088" w:rsidR="00540560" w:rsidRPr="00C869EC" w:rsidRDefault="00540560" w:rsidP="00C869EC">
      <w:pPr>
        <w:numPr>
          <w:ilvl w:val="0"/>
          <w:numId w:val="5"/>
        </w:numPr>
      </w:pPr>
      <w:r>
        <w:t xml:space="preserve">Storage/maintenance tent </w:t>
      </w:r>
      <w:r w:rsidRPr="00C869EC">
        <w:t>(approximately 16 ft × 20 ft)</w:t>
      </w:r>
    </w:p>
    <w:p w14:paraId="5C4C8784" w14:textId="77777777" w:rsidR="00C869EC" w:rsidRPr="00C869EC" w:rsidRDefault="00C869EC" w:rsidP="00C869EC">
      <w:pPr>
        <w:numPr>
          <w:ilvl w:val="0"/>
          <w:numId w:val="5"/>
        </w:numPr>
      </w:pPr>
      <w:r w:rsidRPr="00C869EC">
        <w:t>Outhouse structure;</w:t>
      </w:r>
    </w:p>
    <w:p w14:paraId="7EF7AE23" w14:textId="77777777" w:rsidR="00C869EC" w:rsidRPr="00C869EC" w:rsidRDefault="00C869EC" w:rsidP="00C869EC">
      <w:pPr>
        <w:numPr>
          <w:ilvl w:val="0"/>
          <w:numId w:val="5"/>
        </w:numPr>
      </w:pPr>
      <w:r w:rsidRPr="00C869EC">
        <w:t>Secondary-contained fuel storage area (approximately 5 m × 5 m footprint).</w:t>
      </w:r>
    </w:p>
    <w:p w14:paraId="7EE07716" w14:textId="77777777" w:rsidR="00C869EC" w:rsidRPr="00C869EC" w:rsidRDefault="00C869EC" w:rsidP="00C869EC">
      <w:r w:rsidRPr="00C869EC">
        <w:t>These installations are seasonal, non-permanent structures without fixed foundations.</w:t>
      </w:r>
    </w:p>
    <w:p w14:paraId="0445894C" w14:textId="545E99B4" w:rsidR="00C869EC" w:rsidRPr="00C869EC" w:rsidRDefault="00C869EC" w:rsidP="00C869EC">
      <w:r w:rsidRPr="00C869EC">
        <w:t>It is anticipated that the camp tent frame</w:t>
      </w:r>
      <w:r w:rsidR="002828AE">
        <w:t>s</w:t>
      </w:r>
      <w:r w:rsidRPr="00C869EC">
        <w:t xml:space="preserve"> may remain in place at the conclusion of the 2026 field season for reuse during subsequent exploration programs. These structures will be secured and maintained in a stable and environmentally responsible condition.</w:t>
      </w:r>
    </w:p>
    <w:p w14:paraId="7AB0D749" w14:textId="77777777" w:rsidR="00C869EC" w:rsidRPr="00C869EC" w:rsidRDefault="00C869EC" w:rsidP="00C869EC">
      <w:pPr>
        <w:rPr>
          <w:b/>
          <w:bCs/>
        </w:rPr>
      </w:pPr>
      <w:r w:rsidRPr="00C869EC">
        <w:rPr>
          <w:b/>
          <w:bCs/>
        </w:rPr>
        <w:t>2.4 Fuel Storage and Handling</w:t>
      </w:r>
    </w:p>
    <w:p w14:paraId="6D4011F0" w14:textId="77777777" w:rsidR="00C869EC" w:rsidRPr="00C869EC" w:rsidRDefault="00C869EC" w:rsidP="00C869EC">
      <w:r w:rsidRPr="00C869EC">
        <w:t>Maximum diesel stored on site at any given time: 2,500–4,000 litres.</w:t>
      </w:r>
      <w:r w:rsidRPr="00C869EC">
        <w:br/>
        <w:t>Estimated total seasonal diesel usage: approximately 40,000 litres.</w:t>
      </w:r>
    </w:p>
    <w:p w14:paraId="4DFD1F4B" w14:textId="77777777" w:rsidR="00C869EC" w:rsidRPr="00C869EC" w:rsidRDefault="00C869EC" w:rsidP="00C869EC">
      <w:r w:rsidRPr="00C869EC">
        <w:t>Fuel will be stored within secondary containment and managed in accordance with the project Spill Contingency Plan.</w:t>
      </w:r>
    </w:p>
    <w:p w14:paraId="02A66AE0" w14:textId="77777777" w:rsidR="00C869EC" w:rsidRPr="00C869EC" w:rsidRDefault="00C869EC" w:rsidP="00C869EC">
      <w:pPr>
        <w:rPr>
          <w:b/>
          <w:bCs/>
        </w:rPr>
      </w:pPr>
      <w:r w:rsidRPr="00C869EC">
        <w:rPr>
          <w:b/>
          <w:bCs/>
        </w:rPr>
        <w:t>2.5 Access and Equipment</w:t>
      </w:r>
    </w:p>
    <w:p w14:paraId="455EB2B2" w14:textId="77777777" w:rsidR="00C869EC" w:rsidRPr="00C869EC" w:rsidRDefault="00C869EC" w:rsidP="00C869EC">
      <w:r w:rsidRPr="00C869EC">
        <w:t>Access to drill sites will be primarily by helicopter. Helicopters will place drill rigs directly onto prepared pads.</w:t>
      </w:r>
    </w:p>
    <w:p w14:paraId="5CFA2DA8" w14:textId="77777777" w:rsidR="00C869EC" w:rsidRPr="00C869EC" w:rsidRDefault="00C869EC" w:rsidP="00C869EC">
      <w:r w:rsidRPr="00C869EC">
        <w:t>Limited ATV use may occur along existing natural pathways for movement of supplies. No new access corridors or roads will be constructed.</w:t>
      </w:r>
    </w:p>
    <w:p w14:paraId="04B67275" w14:textId="77777777" w:rsidR="00C869EC" w:rsidRPr="00C869EC" w:rsidRDefault="00C869EC" w:rsidP="00C869EC">
      <w:r w:rsidRPr="00C869EC">
        <w:t>A mini track hoe previously utilized during the 2025 field season will be used only as required for minor pad leveling and sump excavation.</w:t>
      </w:r>
    </w:p>
    <w:p w14:paraId="66519F9C" w14:textId="3B4AEDEB" w:rsidR="00C869EC" w:rsidRPr="00C869EC" w:rsidRDefault="00C869EC" w:rsidP="00C869EC">
      <w:r w:rsidRPr="00C869EC">
        <w:t xml:space="preserve">All disturbance associated with the 2026 program remains confined within the </w:t>
      </w:r>
      <w:r w:rsidR="00B566CC">
        <w:t>Esker mineral claims.</w:t>
      </w:r>
      <w:r w:rsidRPr="00C869EC">
        <w:t xml:space="preserve"> </w:t>
      </w:r>
    </w:p>
    <w:p w14:paraId="5A261785" w14:textId="77777777" w:rsidR="00B116CA" w:rsidRDefault="00B116CA" w:rsidP="00C869EC">
      <w:pPr>
        <w:rPr>
          <w:b/>
          <w:bCs/>
        </w:rPr>
      </w:pPr>
    </w:p>
    <w:p w14:paraId="143D4B41" w14:textId="58734B8C" w:rsidR="00C869EC" w:rsidRPr="00C869EC" w:rsidRDefault="00C869EC" w:rsidP="00C869EC">
      <w:pPr>
        <w:rPr>
          <w:b/>
          <w:bCs/>
        </w:rPr>
      </w:pPr>
      <w:r w:rsidRPr="00C869EC">
        <w:rPr>
          <w:b/>
          <w:bCs/>
        </w:rPr>
        <w:t>3.0 ENVIRONMENTAL PROTECTION AND RECLAMATION COMMITMENTS</w:t>
      </w:r>
    </w:p>
    <w:p w14:paraId="0E7CBB55" w14:textId="77777777" w:rsidR="00C869EC" w:rsidRPr="00C869EC" w:rsidRDefault="00C869EC" w:rsidP="00C869EC">
      <w:pPr>
        <w:rPr>
          <w:b/>
          <w:bCs/>
        </w:rPr>
      </w:pPr>
      <w:r w:rsidRPr="00C869EC">
        <w:rPr>
          <w:b/>
          <w:bCs/>
        </w:rPr>
        <w:t>3.1 Wildlife Protection</w:t>
      </w:r>
    </w:p>
    <w:p w14:paraId="622B60A0" w14:textId="77777777" w:rsidR="00C869EC" w:rsidRPr="00C869EC" w:rsidRDefault="00C869EC" w:rsidP="00C869EC">
      <w:r w:rsidRPr="00C869EC">
        <w:t>Guardian Exploration Inc. will implement the following wildlife protection measures during the 2026 drilling program:</w:t>
      </w:r>
    </w:p>
    <w:p w14:paraId="3526D588" w14:textId="77777777" w:rsidR="00C869EC" w:rsidRPr="00C869EC" w:rsidRDefault="00C869EC" w:rsidP="00C869EC">
      <w:pPr>
        <w:numPr>
          <w:ilvl w:val="0"/>
          <w:numId w:val="6"/>
        </w:numPr>
      </w:pPr>
      <w:r w:rsidRPr="00C869EC">
        <w:t>A minimum 500 metre setback from caribou;</w:t>
      </w:r>
    </w:p>
    <w:p w14:paraId="2DDAA277" w14:textId="77777777" w:rsidR="00C869EC" w:rsidRPr="00C869EC" w:rsidRDefault="00C869EC" w:rsidP="00C869EC">
      <w:pPr>
        <w:numPr>
          <w:ilvl w:val="0"/>
          <w:numId w:val="6"/>
        </w:numPr>
      </w:pPr>
      <w:r w:rsidRPr="00C869EC">
        <w:t>Immediate pause of drilling activities if caribou herds enter the immediate operational area;</w:t>
      </w:r>
    </w:p>
    <w:p w14:paraId="379783D3" w14:textId="77777777" w:rsidR="00C869EC" w:rsidRPr="00C869EC" w:rsidRDefault="00C869EC" w:rsidP="00C869EC">
      <w:pPr>
        <w:numPr>
          <w:ilvl w:val="0"/>
          <w:numId w:val="6"/>
        </w:numPr>
      </w:pPr>
      <w:r w:rsidRPr="00C869EC">
        <w:lastRenderedPageBreak/>
        <w:t>Engagement of a local Inuit wildlife monitor during active drilling;</w:t>
      </w:r>
    </w:p>
    <w:p w14:paraId="4AA91243" w14:textId="77777777" w:rsidR="00C869EC" w:rsidRPr="00C869EC" w:rsidRDefault="00C869EC" w:rsidP="00C869EC">
      <w:pPr>
        <w:numPr>
          <w:ilvl w:val="0"/>
          <w:numId w:val="6"/>
        </w:numPr>
      </w:pPr>
      <w:r w:rsidRPr="00C869EC">
        <w:t>Minimization of helicopter overflights in areas where wildlife are observed;</w:t>
      </w:r>
    </w:p>
    <w:p w14:paraId="532E81A9" w14:textId="77777777" w:rsidR="00C869EC" w:rsidRPr="00C869EC" w:rsidRDefault="00C869EC" w:rsidP="00C869EC">
      <w:pPr>
        <w:numPr>
          <w:ilvl w:val="0"/>
          <w:numId w:val="6"/>
        </w:numPr>
      </w:pPr>
      <w:r w:rsidRPr="00C869EC">
        <w:t>Secure storage of food, fuel, and waste to prevent wildlife attraction;</w:t>
      </w:r>
    </w:p>
    <w:p w14:paraId="3A310AC2" w14:textId="77777777" w:rsidR="00C869EC" w:rsidRPr="00C869EC" w:rsidRDefault="00C869EC" w:rsidP="00C869EC">
      <w:pPr>
        <w:numPr>
          <w:ilvl w:val="0"/>
          <w:numId w:val="6"/>
        </w:numPr>
      </w:pPr>
      <w:r w:rsidRPr="00C869EC">
        <w:t>Prohibition of hunting by project personnel.</w:t>
      </w:r>
    </w:p>
    <w:p w14:paraId="06769091" w14:textId="77777777" w:rsidR="00C869EC" w:rsidRPr="00C869EC" w:rsidRDefault="00C869EC" w:rsidP="00C869EC">
      <w:r w:rsidRPr="00C869EC">
        <w:t>These measures are intended to minimize disturbance and maintain compatibility with traditional land use activities.</w:t>
      </w:r>
    </w:p>
    <w:p w14:paraId="0D94C739" w14:textId="77777777" w:rsidR="00C869EC" w:rsidRPr="00C869EC" w:rsidRDefault="00C869EC" w:rsidP="00C869EC">
      <w:pPr>
        <w:rPr>
          <w:b/>
          <w:bCs/>
        </w:rPr>
      </w:pPr>
      <w:r w:rsidRPr="00C869EC">
        <w:rPr>
          <w:b/>
          <w:bCs/>
        </w:rPr>
        <w:t>3.2 Water and Aquatic Protection</w:t>
      </w:r>
    </w:p>
    <w:p w14:paraId="1FAB8032" w14:textId="77777777" w:rsidR="00C869EC" w:rsidRPr="00C869EC" w:rsidRDefault="00C869EC" w:rsidP="00C869EC">
      <w:r w:rsidRPr="00C869EC">
        <w:t>Drilling operations will utilize a closed-loop recirculating water system.</w:t>
      </w:r>
    </w:p>
    <w:p w14:paraId="1161B145" w14:textId="77777777" w:rsidR="00C869EC" w:rsidRPr="00C869EC" w:rsidRDefault="00C869EC" w:rsidP="00C869EC">
      <w:r w:rsidRPr="00C869EC">
        <w:t>Freshwater withdrawal will not exceed 50 m³/day (conservative planning maximum) and 2,500 m³ total seasonal withdrawal.</w:t>
      </w:r>
    </w:p>
    <w:p w14:paraId="6BDA52E5" w14:textId="77777777" w:rsidR="00C869EC" w:rsidRPr="00C869EC" w:rsidRDefault="00C869EC" w:rsidP="00C869EC">
      <w:r w:rsidRPr="00C869EC">
        <w:t>No discharge of drill water to natural water bodies is proposed.</w:t>
      </w:r>
    </w:p>
    <w:p w14:paraId="31AB0930" w14:textId="77777777" w:rsidR="00C869EC" w:rsidRPr="00C869EC" w:rsidRDefault="00C869EC" w:rsidP="00C869EC">
      <w:r w:rsidRPr="00C869EC">
        <w:t>Intake hoses will be screened to prevent fish entrainment and positioned to avoid sediment disturbance.</w:t>
      </w:r>
    </w:p>
    <w:p w14:paraId="098C42CB" w14:textId="77777777" w:rsidR="00C869EC" w:rsidRPr="00C869EC" w:rsidRDefault="00C869EC" w:rsidP="00C869EC">
      <w:pPr>
        <w:rPr>
          <w:b/>
          <w:bCs/>
        </w:rPr>
      </w:pPr>
      <w:r w:rsidRPr="00C869EC">
        <w:rPr>
          <w:b/>
          <w:bCs/>
        </w:rPr>
        <w:t>3.3 Waste Management</w:t>
      </w:r>
    </w:p>
    <w:p w14:paraId="64EB1CBE" w14:textId="77777777" w:rsidR="00C869EC" w:rsidRPr="00C869EC" w:rsidRDefault="00C869EC" w:rsidP="00C869EC">
      <w:r w:rsidRPr="00C869EC">
        <w:t>Waste generated during the drilling program will be managed in accordance with best industry practices and the Spill Contingency Plan.</w:t>
      </w:r>
    </w:p>
    <w:p w14:paraId="2ABA8B4D" w14:textId="77777777" w:rsidR="00C869EC" w:rsidRPr="00C869EC" w:rsidRDefault="00C869EC" w:rsidP="00C869EC">
      <w:r w:rsidRPr="00C869EC">
        <w:t>Measures include:</w:t>
      </w:r>
    </w:p>
    <w:p w14:paraId="517EE07D" w14:textId="77777777" w:rsidR="00C869EC" w:rsidRPr="00C869EC" w:rsidRDefault="00C869EC" w:rsidP="00C869EC">
      <w:pPr>
        <w:numPr>
          <w:ilvl w:val="0"/>
          <w:numId w:val="7"/>
        </w:numPr>
      </w:pPr>
      <w:r w:rsidRPr="00C869EC">
        <w:t>Containment of drill cuttings within excavated sumps;</w:t>
      </w:r>
    </w:p>
    <w:p w14:paraId="0B76FB3F" w14:textId="77777777" w:rsidR="00C869EC" w:rsidRPr="00C869EC" w:rsidRDefault="00C869EC" w:rsidP="00C869EC">
      <w:pPr>
        <w:numPr>
          <w:ilvl w:val="0"/>
          <w:numId w:val="7"/>
        </w:numPr>
      </w:pPr>
      <w:r w:rsidRPr="00C869EC">
        <w:t>Backfilling and stabilization of sumps following drilling;</w:t>
      </w:r>
    </w:p>
    <w:p w14:paraId="6E915F93" w14:textId="77777777" w:rsidR="00C869EC" w:rsidRPr="00C869EC" w:rsidRDefault="00C869EC" w:rsidP="00C869EC">
      <w:pPr>
        <w:numPr>
          <w:ilvl w:val="0"/>
          <w:numId w:val="7"/>
        </w:numPr>
      </w:pPr>
      <w:r w:rsidRPr="00C869EC">
        <w:t>Removal or appropriate disposal of solid waste;</w:t>
      </w:r>
    </w:p>
    <w:p w14:paraId="5A0C7360" w14:textId="77777777" w:rsidR="00C869EC" w:rsidRPr="00C869EC" w:rsidRDefault="00C869EC" w:rsidP="00C869EC">
      <w:pPr>
        <w:numPr>
          <w:ilvl w:val="0"/>
          <w:numId w:val="7"/>
        </w:numPr>
      </w:pPr>
      <w:r w:rsidRPr="00C869EC">
        <w:t>Secure storage of fuel within secondary containment;</w:t>
      </w:r>
    </w:p>
    <w:p w14:paraId="2AB31626" w14:textId="77777777" w:rsidR="00C869EC" w:rsidRPr="00C869EC" w:rsidRDefault="00C869EC" w:rsidP="00C869EC">
      <w:pPr>
        <w:numPr>
          <w:ilvl w:val="0"/>
          <w:numId w:val="7"/>
        </w:numPr>
      </w:pPr>
      <w:r w:rsidRPr="00C869EC">
        <w:t>Proper handling of used oil and hydrocarbon-contaminated materials.</w:t>
      </w:r>
    </w:p>
    <w:p w14:paraId="33657557" w14:textId="4A4B80DC" w:rsidR="00C869EC" w:rsidRPr="00C869EC" w:rsidRDefault="0053690F" w:rsidP="00C869EC">
      <w:pPr>
        <w:rPr>
          <w:b/>
          <w:bCs/>
        </w:rPr>
      </w:pPr>
      <w:r>
        <w:rPr>
          <w:b/>
          <w:bCs/>
        </w:rPr>
        <w:t xml:space="preserve">3.4 </w:t>
      </w:r>
      <w:r w:rsidR="00C869EC" w:rsidRPr="00C869EC">
        <w:rPr>
          <w:b/>
          <w:bCs/>
        </w:rPr>
        <w:t>Reclamation and Site Stabilization</w:t>
      </w:r>
    </w:p>
    <w:p w14:paraId="565353A9" w14:textId="77777777" w:rsidR="00C869EC" w:rsidRPr="00C869EC" w:rsidRDefault="00C869EC" w:rsidP="00C869EC">
      <w:r w:rsidRPr="00C869EC">
        <w:t>Upon completion of drilling activities at each pad:</w:t>
      </w:r>
    </w:p>
    <w:p w14:paraId="55BD580E" w14:textId="77777777" w:rsidR="00C869EC" w:rsidRPr="00C869EC" w:rsidRDefault="00C869EC" w:rsidP="00C869EC">
      <w:pPr>
        <w:numPr>
          <w:ilvl w:val="0"/>
          <w:numId w:val="8"/>
        </w:numPr>
      </w:pPr>
      <w:r w:rsidRPr="00C869EC">
        <w:t>Drill equipment will be removed by helicopter;</w:t>
      </w:r>
    </w:p>
    <w:p w14:paraId="5BE7ECDF" w14:textId="77777777" w:rsidR="00C869EC" w:rsidRPr="00C869EC" w:rsidRDefault="00C869EC" w:rsidP="00C869EC">
      <w:pPr>
        <w:numPr>
          <w:ilvl w:val="0"/>
          <w:numId w:val="8"/>
        </w:numPr>
      </w:pPr>
      <w:r w:rsidRPr="00C869EC">
        <w:t>Surface materials will be redistributed as required to restore natural contours;</w:t>
      </w:r>
    </w:p>
    <w:p w14:paraId="6B771468" w14:textId="77777777" w:rsidR="00C869EC" w:rsidRPr="00C869EC" w:rsidRDefault="00C869EC" w:rsidP="00C869EC">
      <w:pPr>
        <w:numPr>
          <w:ilvl w:val="0"/>
          <w:numId w:val="8"/>
        </w:numPr>
      </w:pPr>
      <w:r w:rsidRPr="00C869EC">
        <w:t>Sumps will be backfilled and stabilized;</w:t>
      </w:r>
    </w:p>
    <w:p w14:paraId="5256BB1D" w14:textId="77777777" w:rsidR="00C869EC" w:rsidRPr="00C869EC" w:rsidRDefault="00C869EC" w:rsidP="00C869EC">
      <w:pPr>
        <w:numPr>
          <w:ilvl w:val="0"/>
          <w:numId w:val="8"/>
        </w:numPr>
      </w:pPr>
      <w:r w:rsidRPr="00C869EC">
        <w:t>Areas will be inspected for erosion, contamination, or safety hazards.</w:t>
      </w:r>
    </w:p>
    <w:p w14:paraId="64551F93" w14:textId="77777777" w:rsidR="00C869EC" w:rsidRPr="00C869EC" w:rsidRDefault="00C869EC" w:rsidP="00C869EC">
      <w:r w:rsidRPr="00C869EC">
        <w:lastRenderedPageBreak/>
        <w:t>Temporary structures remaining for reuse will be secured and maintained in stable condition.</w:t>
      </w:r>
    </w:p>
    <w:p w14:paraId="05A4FA19" w14:textId="7F22E63E" w:rsidR="0053690F" w:rsidRDefault="0053690F" w:rsidP="00C869EC">
      <w:pPr>
        <w:rPr>
          <w:b/>
          <w:bCs/>
        </w:rPr>
      </w:pPr>
      <w:r>
        <w:rPr>
          <w:b/>
          <w:bCs/>
        </w:rPr>
        <w:t>4.0 MONITORING</w:t>
      </w:r>
    </w:p>
    <w:p w14:paraId="30A934A7" w14:textId="3E2F143D" w:rsidR="00C869EC" w:rsidRPr="00C869EC" w:rsidRDefault="0053690F" w:rsidP="00C869EC">
      <w:pPr>
        <w:rPr>
          <w:b/>
          <w:bCs/>
        </w:rPr>
      </w:pPr>
      <w:r>
        <w:rPr>
          <w:b/>
          <w:bCs/>
        </w:rPr>
        <w:t xml:space="preserve">4.1 </w:t>
      </w:r>
      <w:r w:rsidR="00C869EC" w:rsidRPr="00C869EC">
        <w:rPr>
          <w:b/>
          <w:bCs/>
        </w:rPr>
        <w:t>Ongoing Monitoring and Compliance</w:t>
      </w:r>
    </w:p>
    <w:p w14:paraId="6655B3DF" w14:textId="77777777" w:rsidR="00C869EC" w:rsidRPr="00C869EC" w:rsidRDefault="00C869EC" w:rsidP="00C869EC">
      <w:r w:rsidRPr="00C869EC">
        <w:t>Guardian Exploration Inc. will:</w:t>
      </w:r>
    </w:p>
    <w:p w14:paraId="00E25D9D" w14:textId="77777777" w:rsidR="00C869EC" w:rsidRPr="00C869EC" w:rsidRDefault="00C869EC" w:rsidP="00C869EC">
      <w:pPr>
        <w:numPr>
          <w:ilvl w:val="0"/>
          <w:numId w:val="9"/>
        </w:numPr>
      </w:pPr>
      <w:r w:rsidRPr="00C869EC">
        <w:t>Inspect disturbed areas during demobilization;</w:t>
      </w:r>
    </w:p>
    <w:p w14:paraId="072DFD39" w14:textId="77777777" w:rsidR="00C869EC" w:rsidRPr="00C869EC" w:rsidRDefault="00C869EC" w:rsidP="00C869EC">
      <w:pPr>
        <w:numPr>
          <w:ilvl w:val="0"/>
          <w:numId w:val="9"/>
        </w:numPr>
      </w:pPr>
      <w:r w:rsidRPr="00C869EC">
        <w:t>Address any observed erosion or instability;</w:t>
      </w:r>
    </w:p>
    <w:p w14:paraId="702F526A" w14:textId="77777777" w:rsidR="00C869EC" w:rsidRPr="00C869EC" w:rsidRDefault="00C869EC" w:rsidP="00C869EC">
      <w:pPr>
        <w:numPr>
          <w:ilvl w:val="0"/>
          <w:numId w:val="9"/>
        </w:numPr>
      </w:pPr>
      <w:r w:rsidRPr="00C869EC">
        <w:t>Provide updates to KIA as required under reporting obligations.</w:t>
      </w:r>
    </w:p>
    <w:p w14:paraId="62799046" w14:textId="77777777" w:rsidR="00C869EC" w:rsidRPr="00C869EC" w:rsidRDefault="00C869EC" w:rsidP="00C869EC">
      <w:r w:rsidRPr="00C869EC">
        <w:t>The 2026 program is designed to ensure that land disturbance remains temporary, controlled, and consistent with responsible mineral exploration on Inuit Owned Lands.</w:t>
      </w:r>
    </w:p>
    <w:p w14:paraId="63D943D7" w14:textId="77777777" w:rsidR="00B116CA" w:rsidRDefault="00B116CA" w:rsidP="00C869EC">
      <w:pPr>
        <w:rPr>
          <w:b/>
          <w:bCs/>
        </w:rPr>
      </w:pPr>
    </w:p>
    <w:p w14:paraId="7995E84F" w14:textId="062348CB" w:rsidR="00C869EC" w:rsidRPr="00C869EC" w:rsidRDefault="00C869EC" w:rsidP="00C869EC">
      <w:pPr>
        <w:rPr>
          <w:b/>
          <w:bCs/>
        </w:rPr>
      </w:pPr>
      <w:r w:rsidRPr="00C869EC">
        <w:rPr>
          <w:b/>
          <w:bCs/>
        </w:rPr>
        <w:t>4.</w:t>
      </w:r>
      <w:r w:rsidR="00540560">
        <w:rPr>
          <w:b/>
          <w:bCs/>
        </w:rPr>
        <w:t>2</w:t>
      </w:r>
      <w:r w:rsidRPr="00C869EC">
        <w:rPr>
          <w:b/>
          <w:bCs/>
        </w:rPr>
        <w:t xml:space="preserve"> Financial and Liability Commitments</w:t>
      </w:r>
    </w:p>
    <w:p w14:paraId="06FE1C6F" w14:textId="77777777" w:rsidR="00C869EC" w:rsidRPr="00C869EC" w:rsidRDefault="00C869EC" w:rsidP="00C869EC">
      <w:r w:rsidRPr="00C869EC">
        <w:t>Guardian Exploration Inc. confirms that it maintains appropriate corporate capacity to:</w:t>
      </w:r>
    </w:p>
    <w:p w14:paraId="5D957A02" w14:textId="77777777" w:rsidR="00C869EC" w:rsidRPr="00C869EC" w:rsidRDefault="00C869EC" w:rsidP="00C869EC">
      <w:pPr>
        <w:numPr>
          <w:ilvl w:val="0"/>
          <w:numId w:val="12"/>
        </w:numPr>
      </w:pPr>
      <w:r w:rsidRPr="00C869EC">
        <w:t>Implement reclamation measures described herein;</w:t>
      </w:r>
    </w:p>
    <w:p w14:paraId="4A767498" w14:textId="77777777" w:rsidR="00C869EC" w:rsidRPr="00C869EC" w:rsidRDefault="00C869EC" w:rsidP="00C869EC">
      <w:pPr>
        <w:numPr>
          <w:ilvl w:val="0"/>
          <w:numId w:val="12"/>
        </w:numPr>
      </w:pPr>
      <w:r w:rsidRPr="00C869EC">
        <w:t>Address spill response and environmental remediation if required;</w:t>
      </w:r>
    </w:p>
    <w:p w14:paraId="38775784" w14:textId="77777777" w:rsidR="00C869EC" w:rsidRPr="00C869EC" w:rsidRDefault="00C869EC" w:rsidP="00C869EC">
      <w:r w:rsidRPr="00C869EC">
        <w:t>Proof of insurance and related documentation will be provided to KIA upon request.</w:t>
      </w:r>
    </w:p>
    <w:p w14:paraId="556543AF" w14:textId="75327304" w:rsidR="00C869EC" w:rsidRPr="00C869EC" w:rsidRDefault="00C869EC" w:rsidP="00C869EC">
      <w:pPr>
        <w:rPr>
          <w:b/>
          <w:bCs/>
        </w:rPr>
      </w:pPr>
      <w:r w:rsidRPr="00C869EC">
        <w:rPr>
          <w:b/>
          <w:bCs/>
        </w:rPr>
        <w:t>4.</w:t>
      </w:r>
      <w:r w:rsidR="00540560">
        <w:rPr>
          <w:b/>
          <w:bCs/>
        </w:rPr>
        <w:t>3</w:t>
      </w:r>
      <w:r w:rsidRPr="00C869EC">
        <w:rPr>
          <w:b/>
          <w:bCs/>
        </w:rPr>
        <w:t xml:space="preserve"> Commitment to Ongoing Collaboration</w:t>
      </w:r>
    </w:p>
    <w:p w14:paraId="28E27D86" w14:textId="77777777" w:rsidR="00C869EC" w:rsidRPr="00C869EC" w:rsidRDefault="00C869EC" w:rsidP="00C869EC">
      <w:r w:rsidRPr="00C869EC">
        <w:t>Guardian Exploration Inc. values its working relationship with the Kivalliq Inuit Association and remains committed to:</w:t>
      </w:r>
    </w:p>
    <w:p w14:paraId="13F63534" w14:textId="77777777" w:rsidR="00C869EC" w:rsidRPr="00C869EC" w:rsidRDefault="00C869EC" w:rsidP="00C869EC">
      <w:pPr>
        <w:numPr>
          <w:ilvl w:val="0"/>
          <w:numId w:val="13"/>
        </w:numPr>
      </w:pPr>
      <w:r w:rsidRPr="00C869EC">
        <w:t>Transparent communication;</w:t>
      </w:r>
    </w:p>
    <w:p w14:paraId="6763D638" w14:textId="77777777" w:rsidR="00C869EC" w:rsidRPr="00C869EC" w:rsidRDefault="00C869EC" w:rsidP="00C869EC">
      <w:pPr>
        <w:numPr>
          <w:ilvl w:val="0"/>
          <w:numId w:val="13"/>
        </w:numPr>
      </w:pPr>
      <w:r w:rsidRPr="00C869EC">
        <w:t>Respect for Inuit Owned Lands and traditional land use;</w:t>
      </w:r>
    </w:p>
    <w:p w14:paraId="7C1E035F" w14:textId="77777777" w:rsidR="00C869EC" w:rsidRPr="00C869EC" w:rsidRDefault="00C869EC" w:rsidP="00C869EC">
      <w:pPr>
        <w:numPr>
          <w:ilvl w:val="0"/>
          <w:numId w:val="13"/>
        </w:numPr>
      </w:pPr>
      <w:r w:rsidRPr="00C869EC">
        <w:t>Early notification of material operational changes;</w:t>
      </w:r>
    </w:p>
    <w:p w14:paraId="27766B7F" w14:textId="40C2C557" w:rsidR="002A7270" w:rsidRDefault="00C869EC" w:rsidP="00C869EC">
      <w:pPr>
        <w:numPr>
          <w:ilvl w:val="0"/>
          <w:numId w:val="13"/>
        </w:numPr>
      </w:pPr>
      <w:r w:rsidRPr="00C869EC">
        <w:t>Responsible exploration practices consistent with community expectations.</w:t>
      </w:r>
    </w:p>
    <w:p w14:paraId="67FFF677" w14:textId="77777777" w:rsidR="00E60544" w:rsidRPr="00E60544" w:rsidRDefault="00E60544" w:rsidP="00E60544">
      <w:pPr>
        <w:ind w:left="720"/>
      </w:pPr>
    </w:p>
    <w:p w14:paraId="4420F506" w14:textId="77777777" w:rsidR="002C0C26" w:rsidRDefault="002C0C26" w:rsidP="00C869EC">
      <w:pPr>
        <w:rPr>
          <w:b/>
          <w:bCs/>
        </w:rPr>
      </w:pPr>
    </w:p>
    <w:p w14:paraId="169B7682" w14:textId="77777777" w:rsidR="002C0C26" w:rsidRDefault="002C0C26" w:rsidP="00C869EC">
      <w:pPr>
        <w:rPr>
          <w:b/>
          <w:bCs/>
        </w:rPr>
      </w:pPr>
    </w:p>
    <w:p w14:paraId="50947C20" w14:textId="77777777" w:rsidR="002C0C26" w:rsidRDefault="002C0C26" w:rsidP="00C869EC">
      <w:pPr>
        <w:rPr>
          <w:b/>
          <w:bCs/>
        </w:rPr>
      </w:pPr>
    </w:p>
    <w:p w14:paraId="79041E6E" w14:textId="77777777" w:rsidR="002C0C26" w:rsidRDefault="002C0C26" w:rsidP="00C869EC">
      <w:pPr>
        <w:rPr>
          <w:b/>
          <w:bCs/>
        </w:rPr>
      </w:pPr>
    </w:p>
    <w:p w14:paraId="4E34A804" w14:textId="6B6ABDE6" w:rsidR="00C869EC" w:rsidRPr="00C869EC" w:rsidRDefault="00C869EC" w:rsidP="00C869EC">
      <w:pPr>
        <w:rPr>
          <w:b/>
          <w:bCs/>
        </w:rPr>
      </w:pPr>
      <w:r w:rsidRPr="00C869EC">
        <w:rPr>
          <w:b/>
          <w:bCs/>
        </w:rPr>
        <w:lastRenderedPageBreak/>
        <w:t>5.0 APPENDICES</w:t>
      </w:r>
    </w:p>
    <w:p w14:paraId="551E7645" w14:textId="006A4421" w:rsidR="00C869EC" w:rsidRPr="00C869EC" w:rsidRDefault="00C869EC" w:rsidP="00C869EC">
      <w:r w:rsidRPr="00C869EC">
        <w:t xml:space="preserve">The following appendices are </w:t>
      </w:r>
      <w:r w:rsidR="0053690F">
        <w:t>provided:</w:t>
      </w:r>
    </w:p>
    <w:p w14:paraId="0CAC2696" w14:textId="77777777" w:rsidR="00C869EC" w:rsidRPr="00C869EC" w:rsidRDefault="00C869EC" w:rsidP="00C869EC">
      <w:pPr>
        <w:rPr>
          <w:b/>
          <w:bCs/>
        </w:rPr>
      </w:pPr>
      <w:r w:rsidRPr="00C869EC">
        <w:rPr>
          <w:b/>
          <w:bCs/>
        </w:rPr>
        <w:t>APPENDIX A – PROJECT LOCATION AND DISTURBANCE MAPS</w:t>
      </w:r>
    </w:p>
    <w:p w14:paraId="3733884B" w14:textId="77777777" w:rsidR="00F364B9" w:rsidRDefault="0053690F" w:rsidP="0053690F">
      <w:pPr>
        <w:spacing w:line="240" w:lineRule="auto"/>
        <w:contextualSpacing/>
      </w:pPr>
      <w:r>
        <w:t>Tenure</w:t>
      </w:r>
      <w:r w:rsidR="00C869EC" w:rsidRPr="00C869EC">
        <w:t xml:space="preserve"> </w:t>
      </w:r>
      <w:r>
        <w:t>Distribution</w:t>
      </w:r>
      <w:r w:rsidR="00C869EC" w:rsidRPr="00C869EC">
        <w:t xml:space="preserve"> Map</w:t>
      </w:r>
      <w:r w:rsidR="00C869EC" w:rsidRPr="00C869EC">
        <w:br/>
      </w:r>
      <w:r>
        <w:t>Showings Location Map</w:t>
      </w:r>
      <w:r w:rsidR="00C869EC" w:rsidRPr="00C869EC">
        <w:br/>
      </w:r>
      <w:r>
        <w:t>Proposed Camp Location</w:t>
      </w:r>
      <w:r w:rsidR="00F364B9">
        <w:t>s</w:t>
      </w:r>
    </w:p>
    <w:p w14:paraId="26F582BF" w14:textId="02302A71" w:rsidR="0053690F" w:rsidRDefault="0053690F" w:rsidP="0053690F">
      <w:pPr>
        <w:spacing w:line="240" w:lineRule="auto"/>
        <w:contextualSpacing/>
      </w:pPr>
      <w:r>
        <w:t>Drillhole Location Map – Esker</w:t>
      </w:r>
    </w:p>
    <w:p w14:paraId="43510316" w14:textId="0CD8EF8B" w:rsidR="00C869EC" w:rsidRDefault="0053690F" w:rsidP="0053690F">
      <w:pPr>
        <w:spacing w:line="240" w:lineRule="auto"/>
        <w:contextualSpacing/>
      </w:pPr>
      <w:r>
        <w:t xml:space="preserve">Drillhole Location Map - River  </w:t>
      </w:r>
      <w:r w:rsidR="00C869EC" w:rsidRPr="00C869EC">
        <w:br/>
      </w:r>
      <w:r w:rsidR="00F364B9" w:rsidRPr="00A22D36">
        <w:t>Proposed Camp Layout</w:t>
      </w:r>
      <w:r w:rsidR="00F364B9" w:rsidRPr="00C869EC">
        <w:br/>
      </w:r>
      <w:r w:rsidR="00C869EC" w:rsidRPr="00C869EC">
        <w:t>KML Spatial Files</w:t>
      </w:r>
    </w:p>
    <w:p w14:paraId="044A35FE" w14:textId="77777777" w:rsidR="0053690F" w:rsidRPr="00C869EC" w:rsidRDefault="0053690F" w:rsidP="0053690F">
      <w:pPr>
        <w:spacing w:line="240" w:lineRule="auto"/>
        <w:contextualSpacing/>
      </w:pPr>
    </w:p>
    <w:p w14:paraId="15F03E7C" w14:textId="7BB5650E" w:rsidR="00C869EC" w:rsidRPr="00C869EC" w:rsidRDefault="00C869EC" w:rsidP="00C869EC">
      <w:r w:rsidRPr="00C869EC">
        <w:t>All map</w:t>
      </w:r>
      <w:r w:rsidR="0053690F">
        <w:t xml:space="preserve"> </w:t>
      </w:r>
      <w:r w:rsidRPr="00C869EC">
        <w:t>coordinate</w:t>
      </w:r>
      <w:r w:rsidR="0053690F">
        <w:t xml:space="preserve">s are in </w:t>
      </w:r>
      <w:r w:rsidRPr="00C869EC">
        <w:t>UTM NAD83</w:t>
      </w:r>
      <w:r w:rsidR="0053690F">
        <w:t xml:space="preserve"> Zone 14N.</w:t>
      </w:r>
    </w:p>
    <w:p w14:paraId="3C99C635" w14:textId="77777777" w:rsidR="00C869EC" w:rsidRPr="00C869EC" w:rsidRDefault="00C869EC" w:rsidP="00C869EC">
      <w:pPr>
        <w:rPr>
          <w:b/>
          <w:bCs/>
        </w:rPr>
      </w:pPr>
      <w:r w:rsidRPr="00C869EC">
        <w:rPr>
          <w:b/>
          <w:bCs/>
        </w:rPr>
        <w:t>APPENDIX B – 2026 DISTURBANCE SUMMARY</w:t>
      </w:r>
    </w:p>
    <w:p w14:paraId="7255AAB4" w14:textId="49A70D89" w:rsidR="00C869EC" w:rsidRPr="00C869EC" w:rsidRDefault="00C869EC" w:rsidP="00C869EC">
      <w:r w:rsidRPr="00C869EC">
        <w:t>Drill Pad Disturbance Table</w:t>
      </w:r>
      <w:r w:rsidRPr="00C869EC">
        <w:br/>
        <w:t>Sump Quantities and Volumes</w:t>
      </w:r>
      <w:r w:rsidRPr="00C869EC">
        <w:br/>
        <w:t>Temporary Infrastructure Footprint Summary</w:t>
      </w:r>
      <w:r w:rsidRPr="00C869EC">
        <w:br/>
        <w:t>Fuel Storage and Containment Description</w:t>
      </w:r>
    </w:p>
    <w:p w14:paraId="5B82B838" w14:textId="77777777" w:rsidR="00C869EC" w:rsidRPr="00C869EC" w:rsidRDefault="00C869EC" w:rsidP="00C869EC">
      <w:pPr>
        <w:rPr>
          <w:b/>
          <w:bCs/>
        </w:rPr>
      </w:pPr>
      <w:r w:rsidRPr="00C869EC">
        <w:rPr>
          <w:b/>
          <w:bCs/>
        </w:rPr>
        <w:t>APPENDIX C – ENVIRONMENTAL MANAGEMENT DOCUMENTS</w:t>
      </w:r>
    </w:p>
    <w:p w14:paraId="0E54B858" w14:textId="54A34B4B" w:rsidR="007809C2" w:rsidRDefault="00C869EC">
      <w:r w:rsidRPr="00C869EC">
        <w:t>Spill Contingency Plan</w:t>
      </w:r>
      <w:r w:rsidRPr="00C869EC">
        <w:br/>
        <w:t>Wildlife Mitigation Commitments Summary</w:t>
      </w:r>
      <w:r w:rsidRPr="00C869EC">
        <w:br/>
        <w:t>Archaeological Chance Find Procedure</w:t>
      </w:r>
      <w:r w:rsidRPr="00C869EC">
        <w:br/>
        <w:t>Reclamation and Stabilization Summary</w:t>
      </w:r>
    </w:p>
    <w:p w14:paraId="3ADBD6FF" w14:textId="7171E5E0" w:rsidR="00C70BB1" w:rsidRDefault="00C70BB1">
      <w:pPr>
        <w:rPr>
          <w:b/>
          <w:bCs/>
        </w:rPr>
      </w:pPr>
      <w:r w:rsidRPr="00C869EC">
        <w:rPr>
          <w:b/>
          <w:bCs/>
        </w:rPr>
        <w:t xml:space="preserve">APPENDIX </w:t>
      </w:r>
      <w:r>
        <w:rPr>
          <w:b/>
          <w:bCs/>
        </w:rPr>
        <w:t>D</w:t>
      </w:r>
    </w:p>
    <w:p w14:paraId="68C97F9F" w14:textId="11A9AA86" w:rsidR="00C70BB1" w:rsidRDefault="00C70BB1">
      <w:r w:rsidRPr="00C70BB1">
        <w:t>2025 KVL125B04_250808_Approval letter</w:t>
      </w:r>
    </w:p>
    <w:p w14:paraId="4AB74E74" w14:textId="24E0B95D" w:rsidR="00C70BB1" w:rsidRPr="00C70BB1" w:rsidRDefault="001A71F7" w:rsidP="001A71F7">
      <w:r w:rsidRPr="001A71F7">
        <w:t>KIA_KVL125B04_250808_License</w:t>
      </w:r>
    </w:p>
    <w:sectPr w:rsidR="00C70BB1" w:rsidRPr="00C70BB1" w:rsidSect="00E60544">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0700A"/>
    <w:multiLevelType w:val="multilevel"/>
    <w:tmpl w:val="E900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02FDD"/>
    <w:multiLevelType w:val="multilevel"/>
    <w:tmpl w:val="F1F4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526C4"/>
    <w:multiLevelType w:val="multilevel"/>
    <w:tmpl w:val="CDEC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73D39"/>
    <w:multiLevelType w:val="multilevel"/>
    <w:tmpl w:val="D980C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47011"/>
    <w:multiLevelType w:val="multilevel"/>
    <w:tmpl w:val="22AC8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95131"/>
    <w:multiLevelType w:val="multilevel"/>
    <w:tmpl w:val="FA5A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C65412"/>
    <w:multiLevelType w:val="multilevel"/>
    <w:tmpl w:val="2044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51BFC"/>
    <w:multiLevelType w:val="multilevel"/>
    <w:tmpl w:val="B6E8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A5A50"/>
    <w:multiLevelType w:val="multilevel"/>
    <w:tmpl w:val="FDC2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5217E3"/>
    <w:multiLevelType w:val="multilevel"/>
    <w:tmpl w:val="3B66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3A027E"/>
    <w:multiLevelType w:val="multilevel"/>
    <w:tmpl w:val="7236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EB23DB"/>
    <w:multiLevelType w:val="multilevel"/>
    <w:tmpl w:val="9448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6D2E40"/>
    <w:multiLevelType w:val="multilevel"/>
    <w:tmpl w:val="0C58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1386269">
    <w:abstractNumId w:val="11"/>
  </w:num>
  <w:num w:numId="2" w16cid:durableId="1329401680">
    <w:abstractNumId w:val="6"/>
  </w:num>
  <w:num w:numId="3" w16cid:durableId="450979993">
    <w:abstractNumId w:val="3"/>
  </w:num>
  <w:num w:numId="4" w16cid:durableId="137066821">
    <w:abstractNumId w:val="2"/>
  </w:num>
  <w:num w:numId="5" w16cid:durableId="296640868">
    <w:abstractNumId w:val="5"/>
  </w:num>
  <w:num w:numId="6" w16cid:durableId="1194155206">
    <w:abstractNumId w:val="1"/>
  </w:num>
  <w:num w:numId="7" w16cid:durableId="143395912">
    <w:abstractNumId w:val="12"/>
  </w:num>
  <w:num w:numId="8" w16cid:durableId="2087726837">
    <w:abstractNumId w:val="10"/>
  </w:num>
  <w:num w:numId="9" w16cid:durableId="1883320057">
    <w:abstractNumId w:val="4"/>
  </w:num>
  <w:num w:numId="10" w16cid:durableId="134227147">
    <w:abstractNumId w:val="9"/>
  </w:num>
  <w:num w:numId="11" w16cid:durableId="652103916">
    <w:abstractNumId w:val="7"/>
  </w:num>
  <w:num w:numId="12" w16cid:durableId="1360475152">
    <w:abstractNumId w:val="8"/>
  </w:num>
  <w:num w:numId="13" w16cid:durableId="410009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EC"/>
    <w:rsid w:val="00036FD4"/>
    <w:rsid w:val="00110106"/>
    <w:rsid w:val="00135C20"/>
    <w:rsid w:val="001A71F7"/>
    <w:rsid w:val="0021344F"/>
    <w:rsid w:val="002543E8"/>
    <w:rsid w:val="002828AE"/>
    <w:rsid w:val="002A7270"/>
    <w:rsid w:val="002C0C26"/>
    <w:rsid w:val="002C1F13"/>
    <w:rsid w:val="00316376"/>
    <w:rsid w:val="003721A5"/>
    <w:rsid w:val="004C27C8"/>
    <w:rsid w:val="0053690F"/>
    <w:rsid w:val="00540560"/>
    <w:rsid w:val="00591DC4"/>
    <w:rsid w:val="006F6ED8"/>
    <w:rsid w:val="007060D4"/>
    <w:rsid w:val="007809C2"/>
    <w:rsid w:val="007F4239"/>
    <w:rsid w:val="007F589A"/>
    <w:rsid w:val="00826330"/>
    <w:rsid w:val="008E78F4"/>
    <w:rsid w:val="009127EF"/>
    <w:rsid w:val="00984B34"/>
    <w:rsid w:val="00A22D36"/>
    <w:rsid w:val="00A253D0"/>
    <w:rsid w:val="00AC52BF"/>
    <w:rsid w:val="00B116CA"/>
    <w:rsid w:val="00B37C8D"/>
    <w:rsid w:val="00B566CC"/>
    <w:rsid w:val="00C70BB1"/>
    <w:rsid w:val="00C869EC"/>
    <w:rsid w:val="00D26CA5"/>
    <w:rsid w:val="00DE1D5C"/>
    <w:rsid w:val="00E32C99"/>
    <w:rsid w:val="00E60544"/>
    <w:rsid w:val="00EF1A69"/>
    <w:rsid w:val="00F364B9"/>
    <w:rsid w:val="00F400ED"/>
    <w:rsid w:val="00FA11D3"/>
    <w:rsid w:val="00FD4EA9"/>
    <w:rsid w:val="00FF0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B3A54"/>
  <w15:chartTrackingRefBased/>
  <w15:docId w15:val="{9A6958EF-6C66-46D8-8BD7-D0A68A5F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9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69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69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9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9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9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9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9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9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9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69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69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9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9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9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9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9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9EC"/>
    <w:rPr>
      <w:rFonts w:eastAsiaTheme="majorEastAsia" w:cstheme="majorBidi"/>
      <w:color w:val="272727" w:themeColor="text1" w:themeTint="D8"/>
    </w:rPr>
  </w:style>
  <w:style w:type="paragraph" w:styleId="Title">
    <w:name w:val="Title"/>
    <w:basedOn w:val="Normal"/>
    <w:next w:val="Normal"/>
    <w:link w:val="TitleChar"/>
    <w:uiPriority w:val="10"/>
    <w:qFormat/>
    <w:rsid w:val="00C869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9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9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9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9EC"/>
    <w:pPr>
      <w:spacing w:before="160"/>
      <w:jc w:val="center"/>
    </w:pPr>
    <w:rPr>
      <w:i/>
      <w:iCs/>
      <w:color w:val="404040" w:themeColor="text1" w:themeTint="BF"/>
    </w:rPr>
  </w:style>
  <w:style w:type="character" w:customStyle="1" w:styleId="QuoteChar">
    <w:name w:val="Quote Char"/>
    <w:basedOn w:val="DefaultParagraphFont"/>
    <w:link w:val="Quote"/>
    <w:uiPriority w:val="29"/>
    <w:rsid w:val="00C869EC"/>
    <w:rPr>
      <w:i/>
      <w:iCs/>
      <w:color w:val="404040" w:themeColor="text1" w:themeTint="BF"/>
    </w:rPr>
  </w:style>
  <w:style w:type="paragraph" w:styleId="ListParagraph">
    <w:name w:val="List Paragraph"/>
    <w:basedOn w:val="Normal"/>
    <w:uiPriority w:val="34"/>
    <w:qFormat/>
    <w:rsid w:val="00C869EC"/>
    <w:pPr>
      <w:ind w:left="720"/>
      <w:contextualSpacing/>
    </w:pPr>
  </w:style>
  <w:style w:type="character" w:styleId="IntenseEmphasis">
    <w:name w:val="Intense Emphasis"/>
    <w:basedOn w:val="DefaultParagraphFont"/>
    <w:uiPriority w:val="21"/>
    <w:qFormat/>
    <w:rsid w:val="00C869EC"/>
    <w:rPr>
      <w:i/>
      <w:iCs/>
      <w:color w:val="0F4761" w:themeColor="accent1" w:themeShade="BF"/>
    </w:rPr>
  </w:style>
  <w:style w:type="paragraph" w:styleId="IntenseQuote">
    <w:name w:val="Intense Quote"/>
    <w:basedOn w:val="Normal"/>
    <w:next w:val="Normal"/>
    <w:link w:val="IntenseQuoteChar"/>
    <w:uiPriority w:val="30"/>
    <w:qFormat/>
    <w:rsid w:val="00C869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9EC"/>
    <w:rPr>
      <w:i/>
      <w:iCs/>
      <w:color w:val="0F4761" w:themeColor="accent1" w:themeShade="BF"/>
    </w:rPr>
  </w:style>
  <w:style w:type="character" w:styleId="IntenseReference">
    <w:name w:val="Intense Reference"/>
    <w:basedOn w:val="DefaultParagraphFont"/>
    <w:uiPriority w:val="32"/>
    <w:qFormat/>
    <w:rsid w:val="00C869EC"/>
    <w:rPr>
      <w:b/>
      <w:bCs/>
      <w:smallCaps/>
      <w:color w:val="0F4761" w:themeColor="accent1" w:themeShade="BF"/>
      <w:spacing w:val="5"/>
    </w:rPr>
  </w:style>
  <w:style w:type="character" w:styleId="Hyperlink">
    <w:name w:val="Hyperlink"/>
    <w:basedOn w:val="DefaultParagraphFont"/>
    <w:uiPriority w:val="99"/>
    <w:unhideWhenUsed/>
    <w:rsid w:val="0082633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TotalTime>
  <Pages>8</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dc:description/>
  <cp:lastModifiedBy>Steve</cp:lastModifiedBy>
  <cp:revision>15</cp:revision>
  <dcterms:created xsi:type="dcterms:W3CDTF">2026-02-22T16:03:00Z</dcterms:created>
  <dcterms:modified xsi:type="dcterms:W3CDTF">2026-03-04T11:06:00Z</dcterms:modified>
</cp:coreProperties>
</file>