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60" w:rsidRPr="009A3942" w:rsidRDefault="007D6277" w:rsidP="00C54C60">
      <w:pPr>
        <w:jc w:val="center"/>
        <w:rPr>
          <w:noProof/>
        </w:rPr>
      </w:pPr>
      <w:bookmarkStart w:id="0" w:name="_GoBack"/>
      <w:bookmarkEnd w:id="0"/>
      <w:r w:rsidRPr="009A3942">
        <w:rPr>
          <w:noProof/>
        </w:rPr>
        <w:drawing>
          <wp:inline distT="0" distB="0" distL="0" distR="0">
            <wp:extent cx="1800225" cy="120967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12022" t="10316" r="14375" b="10274"/>
                    <a:stretch>
                      <a:fillRect/>
                    </a:stretch>
                  </pic:blipFill>
                  <pic:spPr bwMode="auto">
                    <a:xfrm>
                      <a:off x="0" y="0"/>
                      <a:ext cx="1800225" cy="1209675"/>
                    </a:xfrm>
                    <a:prstGeom prst="rect">
                      <a:avLst/>
                    </a:prstGeom>
                    <a:noFill/>
                    <a:ln w="9525">
                      <a:noFill/>
                      <a:miter lim="800000"/>
                      <a:headEnd/>
                      <a:tailEnd/>
                    </a:ln>
                  </pic:spPr>
                </pic:pic>
              </a:graphicData>
            </a:graphic>
          </wp:inline>
        </w:drawing>
      </w:r>
    </w:p>
    <w:p w:rsidR="007D6277" w:rsidRPr="009A3942" w:rsidRDefault="007D6277" w:rsidP="00C54C60">
      <w:pPr>
        <w:jc w:val="center"/>
        <w:rPr>
          <w:rFonts w:ascii="Arial" w:hAnsi="Arial" w:cs="Arial"/>
          <w:b/>
          <w:sz w:val="36"/>
          <w:szCs w:val="36"/>
        </w:rPr>
      </w:pPr>
    </w:p>
    <w:p w:rsidR="007D6277" w:rsidRPr="009A3942" w:rsidRDefault="007D6277" w:rsidP="00C54C60">
      <w:pPr>
        <w:jc w:val="center"/>
        <w:rPr>
          <w:rFonts w:ascii="Arial" w:hAnsi="Arial" w:cs="Arial"/>
          <w:b/>
          <w:sz w:val="36"/>
          <w:szCs w:val="36"/>
        </w:rPr>
      </w:pPr>
    </w:p>
    <w:p w:rsidR="00C54C60" w:rsidRPr="00B62FE0" w:rsidRDefault="007D6277" w:rsidP="00C54C60">
      <w:pPr>
        <w:jc w:val="center"/>
        <w:rPr>
          <w:rFonts w:ascii="Arial" w:hAnsi="Arial" w:cs="Arial"/>
          <w:b/>
          <w:sz w:val="36"/>
          <w:szCs w:val="36"/>
        </w:rPr>
      </w:pPr>
      <w:r w:rsidRPr="00B62FE0">
        <w:rPr>
          <w:rFonts w:ascii="Arial" w:hAnsi="Arial" w:cs="Arial"/>
          <w:b/>
          <w:sz w:val="36"/>
          <w:szCs w:val="36"/>
        </w:rPr>
        <w:t>Hackett</w:t>
      </w:r>
      <w:r w:rsidR="00C54C60" w:rsidRPr="00B62FE0">
        <w:rPr>
          <w:rFonts w:ascii="Arial" w:hAnsi="Arial" w:cs="Arial"/>
          <w:b/>
          <w:sz w:val="36"/>
          <w:szCs w:val="36"/>
        </w:rPr>
        <w:t xml:space="preserve"> River Project</w:t>
      </w:r>
    </w:p>
    <w:p w:rsidR="00C54C60" w:rsidRPr="00B62FE0" w:rsidRDefault="00C54C60" w:rsidP="00C54C60">
      <w:pPr>
        <w:jc w:val="center"/>
        <w:rPr>
          <w:rFonts w:ascii="Arial" w:hAnsi="Arial" w:cs="Arial"/>
          <w:b/>
          <w:sz w:val="36"/>
          <w:szCs w:val="36"/>
        </w:rPr>
      </w:pPr>
    </w:p>
    <w:p w:rsidR="00C54C60" w:rsidRPr="00B62FE0" w:rsidRDefault="007D6277" w:rsidP="00C54C60">
      <w:pPr>
        <w:jc w:val="center"/>
        <w:rPr>
          <w:rFonts w:ascii="Arial" w:hAnsi="Arial" w:cs="Arial"/>
          <w:b/>
          <w:sz w:val="28"/>
          <w:szCs w:val="28"/>
        </w:rPr>
      </w:pPr>
      <w:r w:rsidRPr="00B62FE0">
        <w:rPr>
          <w:rFonts w:ascii="Arial" w:hAnsi="Arial" w:cs="Arial"/>
          <w:b/>
          <w:sz w:val="28"/>
          <w:szCs w:val="28"/>
        </w:rPr>
        <w:t>20</w:t>
      </w:r>
      <w:r w:rsidR="00B71A02">
        <w:rPr>
          <w:rFonts w:ascii="Arial" w:hAnsi="Arial" w:cs="Arial"/>
          <w:b/>
          <w:sz w:val="28"/>
          <w:szCs w:val="28"/>
        </w:rPr>
        <w:t>11</w:t>
      </w:r>
      <w:r w:rsidR="00C54C60" w:rsidRPr="00B62FE0">
        <w:rPr>
          <w:rFonts w:ascii="Arial" w:hAnsi="Arial" w:cs="Arial"/>
          <w:b/>
          <w:sz w:val="28"/>
          <w:szCs w:val="28"/>
        </w:rPr>
        <w:t xml:space="preserve"> Annual Report For </w:t>
      </w:r>
    </w:p>
    <w:p w:rsidR="00C54C60" w:rsidRPr="00B62FE0" w:rsidRDefault="00C54C60" w:rsidP="00C54C60">
      <w:pPr>
        <w:jc w:val="center"/>
        <w:rPr>
          <w:rFonts w:ascii="Arial" w:hAnsi="Arial" w:cs="Arial"/>
          <w:b/>
          <w:sz w:val="28"/>
          <w:szCs w:val="28"/>
        </w:rPr>
      </w:pPr>
      <w:r w:rsidRPr="00B62FE0">
        <w:rPr>
          <w:rFonts w:ascii="Arial" w:hAnsi="Arial" w:cs="Arial"/>
          <w:b/>
          <w:sz w:val="28"/>
          <w:szCs w:val="28"/>
        </w:rPr>
        <w:t>INAC Land Use Licen</w:t>
      </w:r>
      <w:r w:rsidR="00B40FB3" w:rsidRPr="00B62FE0">
        <w:rPr>
          <w:rFonts w:ascii="Arial" w:hAnsi="Arial" w:cs="Arial"/>
          <w:b/>
          <w:sz w:val="28"/>
          <w:szCs w:val="28"/>
        </w:rPr>
        <w:t>s</w:t>
      </w:r>
      <w:r w:rsidR="00B71A02">
        <w:rPr>
          <w:rFonts w:ascii="Arial" w:hAnsi="Arial" w:cs="Arial"/>
          <w:b/>
          <w:sz w:val="28"/>
          <w:szCs w:val="28"/>
        </w:rPr>
        <w:t>e N2010C0015</w:t>
      </w:r>
    </w:p>
    <w:p w:rsidR="00C54C60" w:rsidRPr="00B62FE0" w:rsidRDefault="00C54C60" w:rsidP="007D6277">
      <w:pPr>
        <w:jc w:val="center"/>
        <w:rPr>
          <w:rFonts w:ascii="Arial" w:hAnsi="Arial" w:cs="Arial"/>
        </w:rPr>
      </w:pPr>
    </w:p>
    <w:p w:rsidR="00C54C60" w:rsidRPr="00B62FE0" w:rsidRDefault="00C54C60" w:rsidP="007D6277">
      <w:pPr>
        <w:jc w:val="center"/>
        <w:rPr>
          <w:rFonts w:ascii="Arial" w:hAnsi="Arial" w:cs="Arial"/>
        </w:rPr>
      </w:pPr>
    </w:p>
    <w:p w:rsidR="00C54C60" w:rsidRPr="00B62FE0" w:rsidRDefault="00C54C60" w:rsidP="007D6277">
      <w:pPr>
        <w:jc w:val="center"/>
        <w:rPr>
          <w:rFonts w:ascii="Arial" w:hAnsi="Arial" w:cs="Arial"/>
        </w:rPr>
      </w:pPr>
    </w:p>
    <w:p w:rsidR="00C54C60" w:rsidRPr="00B62FE0" w:rsidRDefault="00C54C60" w:rsidP="007D6277">
      <w:pPr>
        <w:jc w:val="center"/>
        <w:rPr>
          <w:rFonts w:ascii="Arial" w:hAnsi="Arial" w:cs="Arial"/>
        </w:rPr>
      </w:pPr>
    </w:p>
    <w:p w:rsidR="00C54C60" w:rsidRPr="00B62FE0" w:rsidRDefault="00C54C60" w:rsidP="007D6277">
      <w:pPr>
        <w:jc w:val="center"/>
        <w:rPr>
          <w:rFonts w:ascii="Arial" w:hAnsi="Arial" w:cs="Arial"/>
        </w:rPr>
      </w:pPr>
    </w:p>
    <w:p w:rsidR="00C54C60" w:rsidRPr="00B62FE0" w:rsidRDefault="00C54C60"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7D6277" w:rsidRPr="00B62FE0" w:rsidRDefault="007D6277" w:rsidP="007D6277">
      <w:pPr>
        <w:jc w:val="center"/>
        <w:rPr>
          <w:rFonts w:ascii="Arial" w:hAnsi="Arial" w:cs="Arial"/>
        </w:rPr>
      </w:pPr>
    </w:p>
    <w:p w:rsidR="009643B1" w:rsidRPr="00B62FE0" w:rsidRDefault="007D6277" w:rsidP="007E1458">
      <w:pPr>
        <w:jc w:val="center"/>
        <w:rPr>
          <w:rFonts w:ascii="Arial" w:hAnsi="Arial" w:cs="Arial"/>
          <w:sz w:val="22"/>
          <w:szCs w:val="22"/>
        </w:rPr>
        <w:sectPr w:rsidR="009643B1" w:rsidRPr="00B62FE0" w:rsidSect="009643B1">
          <w:headerReference w:type="default" r:id="rId8"/>
          <w:footerReference w:type="default" r:id="rId9"/>
          <w:pgSz w:w="12240" w:h="15840" w:code="1"/>
          <w:pgMar w:top="1440" w:right="1440" w:bottom="1440" w:left="1440" w:header="720" w:footer="720" w:gutter="0"/>
          <w:cols w:space="720"/>
          <w:noEndnote/>
          <w:titlePg/>
          <w:docGrid w:linePitch="326"/>
        </w:sectPr>
      </w:pPr>
      <w:r w:rsidRPr="00B62FE0">
        <w:rPr>
          <w:rFonts w:ascii="Arial" w:hAnsi="Arial" w:cs="Arial"/>
          <w:sz w:val="22"/>
          <w:szCs w:val="22"/>
        </w:rPr>
        <w:t>M</w:t>
      </w:r>
      <w:r w:rsidR="00C54C60" w:rsidRPr="00B62FE0">
        <w:rPr>
          <w:rFonts w:ascii="Arial" w:hAnsi="Arial" w:cs="Arial"/>
          <w:sz w:val="22"/>
          <w:szCs w:val="22"/>
        </w:rPr>
        <w:t>arch 20</w:t>
      </w:r>
      <w:r w:rsidRPr="00B62FE0">
        <w:rPr>
          <w:rFonts w:ascii="Arial" w:hAnsi="Arial" w:cs="Arial"/>
          <w:sz w:val="22"/>
          <w:szCs w:val="22"/>
        </w:rPr>
        <w:t>1</w:t>
      </w:r>
      <w:r w:rsidR="00B71A02">
        <w:rPr>
          <w:rFonts w:ascii="Arial" w:hAnsi="Arial" w:cs="Arial"/>
          <w:sz w:val="22"/>
          <w:szCs w:val="22"/>
        </w:rPr>
        <w:t>2</w:t>
      </w:r>
    </w:p>
    <w:p w:rsidR="000026CE" w:rsidRPr="00B62FE0" w:rsidRDefault="00204E57" w:rsidP="000026CE">
      <w:pPr>
        <w:pStyle w:val="BodyText"/>
        <w:numPr>
          <w:ilvl w:val="0"/>
          <w:numId w:val="17"/>
        </w:numPr>
        <w:ind w:hanging="720"/>
        <w:jc w:val="both"/>
        <w:rPr>
          <w:rFonts w:ascii="Arial" w:hAnsi="Arial" w:cs="Arial"/>
          <w:sz w:val="22"/>
          <w:szCs w:val="22"/>
          <w:lang w:val="en-CA"/>
        </w:rPr>
      </w:pPr>
      <w:r w:rsidRPr="00B62FE0">
        <w:rPr>
          <w:rFonts w:ascii="Arial" w:hAnsi="Arial" w:cs="Arial"/>
          <w:sz w:val="22"/>
          <w:szCs w:val="22"/>
          <w:lang w:val="en-CA"/>
        </w:rPr>
        <w:lastRenderedPageBreak/>
        <w:t xml:space="preserve">The camp for the </w:t>
      </w:r>
      <w:r w:rsidR="00C8610E" w:rsidRPr="00B62FE0">
        <w:rPr>
          <w:rFonts w:ascii="Arial" w:hAnsi="Arial" w:cs="Arial"/>
          <w:sz w:val="22"/>
          <w:szCs w:val="22"/>
          <w:lang w:val="en-CA"/>
        </w:rPr>
        <w:t>Hackett River</w:t>
      </w:r>
      <w:r w:rsidRPr="00B62FE0">
        <w:rPr>
          <w:rFonts w:ascii="Arial" w:hAnsi="Arial" w:cs="Arial"/>
          <w:sz w:val="22"/>
          <w:szCs w:val="22"/>
          <w:lang w:val="en-CA"/>
        </w:rPr>
        <w:t xml:space="preserve"> Project</w:t>
      </w:r>
      <w:r w:rsidR="00703A82" w:rsidRPr="00B62FE0">
        <w:rPr>
          <w:rFonts w:ascii="Arial" w:hAnsi="Arial" w:cs="Arial"/>
          <w:sz w:val="22"/>
          <w:szCs w:val="22"/>
          <w:lang w:val="en-CA"/>
        </w:rPr>
        <w:t xml:space="preserve"> </w:t>
      </w:r>
      <w:r w:rsidR="000108BA" w:rsidRPr="00B62FE0">
        <w:rPr>
          <w:rFonts w:ascii="Arial" w:hAnsi="Arial" w:cs="Arial"/>
          <w:sz w:val="22"/>
          <w:szCs w:val="22"/>
          <w:lang w:val="en-CA"/>
        </w:rPr>
        <w:t xml:space="preserve">(Figure 1) </w:t>
      </w:r>
      <w:r w:rsidR="00703A82" w:rsidRPr="00B62FE0">
        <w:rPr>
          <w:rFonts w:ascii="Arial" w:hAnsi="Arial" w:cs="Arial"/>
          <w:sz w:val="22"/>
          <w:szCs w:val="22"/>
          <w:lang w:val="en-CA"/>
        </w:rPr>
        <w:t>was in ope</w:t>
      </w:r>
      <w:r w:rsidR="00DF3A46" w:rsidRPr="00B62FE0">
        <w:rPr>
          <w:rFonts w:ascii="Arial" w:hAnsi="Arial" w:cs="Arial"/>
          <w:sz w:val="22"/>
          <w:szCs w:val="22"/>
          <w:lang w:val="en-CA"/>
        </w:rPr>
        <w:t xml:space="preserve">ration from </w:t>
      </w:r>
      <w:r w:rsidR="00E01392" w:rsidRPr="00B62FE0">
        <w:rPr>
          <w:rFonts w:ascii="Arial" w:hAnsi="Arial" w:cs="Arial"/>
          <w:sz w:val="22"/>
          <w:szCs w:val="22"/>
          <w:lang w:val="en-CA"/>
        </w:rPr>
        <w:t xml:space="preserve">February </w:t>
      </w:r>
      <w:r w:rsidR="00B71A02">
        <w:rPr>
          <w:rFonts w:ascii="Arial" w:hAnsi="Arial" w:cs="Arial"/>
          <w:sz w:val="22"/>
          <w:szCs w:val="22"/>
          <w:lang w:val="en-CA"/>
        </w:rPr>
        <w:t>22</w:t>
      </w:r>
      <w:r w:rsidR="00C64D37" w:rsidRPr="00B62FE0">
        <w:rPr>
          <w:rFonts w:ascii="Arial" w:hAnsi="Arial" w:cs="Arial"/>
          <w:sz w:val="22"/>
          <w:szCs w:val="22"/>
          <w:lang w:val="en-CA"/>
        </w:rPr>
        <w:t xml:space="preserve"> </w:t>
      </w:r>
      <w:r w:rsidR="00DF3A46" w:rsidRPr="00B62FE0">
        <w:rPr>
          <w:rFonts w:ascii="Arial" w:hAnsi="Arial" w:cs="Arial"/>
          <w:sz w:val="22"/>
          <w:szCs w:val="22"/>
          <w:lang w:val="en-CA"/>
        </w:rPr>
        <w:t xml:space="preserve">to </w:t>
      </w:r>
      <w:r w:rsidR="00B71A02">
        <w:rPr>
          <w:rFonts w:ascii="Arial" w:hAnsi="Arial" w:cs="Arial"/>
          <w:sz w:val="22"/>
          <w:szCs w:val="22"/>
          <w:lang w:val="en-CA"/>
        </w:rPr>
        <w:t>October 2</w:t>
      </w:r>
      <w:r w:rsidR="003B5C45" w:rsidRPr="00B62FE0">
        <w:rPr>
          <w:rFonts w:ascii="Arial" w:hAnsi="Arial" w:cs="Arial"/>
          <w:sz w:val="22"/>
          <w:szCs w:val="22"/>
          <w:lang w:val="en-CA"/>
        </w:rPr>
        <w:t xml:space="preserve"> </w:t>
      </w:r>
      <w:r w:rsidR="005B6CA7" w:rsidRPr="00B62FE0">
        <w:rPr>
          <w:rFonts w:ascii="Arial" w:hAnsi="Arial" w:cs="Arial"/>
          <w:sz w:val="22"/>
          <w:szCs w:val="22"/>
          <w:lang w:val="en-CA"/>
        </w:rPr>
        <w:t xml:space="preserve">for a total of </w:t>
      </w:r>
      <w:r w:rsidR="00B71A02">
        <w:rPr>
          <w:rFonts w:ascii="Arial" w:hAnsi="Arial" w:cs="Arial"/>
          <w:sz w:val="22"/>
          <w:szCs w:val="22"/>
          <w:lang w:val="en-CA"/>
        </w:rPr>
        <w:t>223</w:t>
      </w:r>
      <w:r w:rsidR="00F75B1A" w:rsidRPr="00B62FE0">
        <w:rPr>
          <w:rFonts w:ascii="Arial" w:hAnsi="Arial" w:cs="Arial"/>
          <w:sz w:val="22"/>
          <w:szCs w:val="22"/>
          <w:lang w:val="en-CA"/>
        </w:rPr>
        <w:t xml:space="preserve"> </w:t>
      </w:r>
      <w:r w:rsidR="005B6CA7" w:rsidRPr="00B62FE0">
        <w:rPr>
          <w:rFonts w:ascii="Arial" w:hAnsi="Arial" w:cs="Arial"/>
          <w:sz w:val="22"/>
          <w:szCs w:val="22"/>
          <w:lang w:val="en-CA"/>
        </w:rPr>
        <w:t>days</w:t>
      </w:r>
      <w:r w:rsidR="009D624D" w:rsidRPr="00B62FE0">
        <w:rPr>
          <w:rFonts w:ascii="Arial" w:hAnsi="Arial" w:cs="Arial"/>
          <w:sz w:val="22"/>
          <w:szCs w:val="22"/>
          <w:lang w:val="en-CA"/>
        </w:rPr>
        <w:t>.</w:t>
      </w:r>
      <w:r w:rsidR="00E01392" w:rsidRPr="00B62FE0">
        <w:rPr>
          <w:rFonts w:ascii="Arial" w:hAnsi="Arial" w:cs="Arial"/>
          <w:sz w:val="22"/>
          <w:szCs w:val="22"/>
          <w:lang w:val="en-CA"/>
        </w:rPr>
        <w:t xml:space="preserve"> </w:t>
      </w:r>
      <w:r w:rsidR="00B71A02">
        <w:rPr>
          <w:rFonts w:ascii="Arial" w:hAnsi="Arial" w:cs="Arial"/>
          <w:sz w:val="22"/>
          <w:szCs w:val="22"/>
          <w:lang w:val="en-CA"/>
        </w:rPr>
        <w:t xml:space="preserve"> </w:t>
      </w:r>
      <w:r w:rsidR="00703A82" w:rsidRPr="00B62FE0">
        <w:rPr>
          <w:rFonts w:ascii="Arial" w:hAnsi="Arial" w:cs="Arial"/>
          <w:sz w:val="22"/>
          <w:szCs w:val="22"/>
          <w:lang w:val="en-CA"/>
        </w:rPr>
        <w:t xml:space="preserve">During </w:t>
      </w:r>
      <w:r w:rsidR="003B5C45" w:rsidRPr="00B62FE0">
        <w:rPr>
          <w:rFonts w:ascii="Arial" w:hAnsi="Arial" w:cs="Arial"/>
          <w:sz w:val="22"/>
          <w:szCs w:val="22"/>
          <w:lang w:val="en-CA"/>
        </w:rPr>
        <w:t xml:space="preserve">the </w:t>
      </w:r>
      <w:r w:rsidR="00B71A02">
        <w:rPr>
          <w:rFonts w:ascii="Arial" w:hAnsi="Arial" w:cs="Arial"/>
          <w:sz w:val="22"/>
          <w:szCs w:val="22"/>
          <w:lang w:val="en-CA"/>
        </w:rPr>
        <w:t>2011</w:t>
      </w:r>
      <w:r w:rsidR="00C64D37" w:rsidRPr="00B62FE0">
        <w:rPr>
          <w:rFonts w:ascii="Arial" w:hAnsi="Arial" w:cs="Arial"/>
          <w:sz w:val="22"/>
          <w:szCs w:val="22"/>
          <w:lang w:val="en-CA"/>
        </w:rPr>
        <w:t xml:space="preserve"> </w:t>
      </w:r>
      <w:r w:rsidR="003B5C45" w:rsidRPr="00B62FE0">
        <w:rPr>
          <w:rFonts w:ascii="Arial" w:hAnsi="Arial" w:cs="Arial"/>
          <w:sz w:val="22"/>
          <w:szCs w:val="22"/>
          <w:lang w:val="en-CA"/>
        </w:rPr>
        <w:t>season</w:t>
      </w:r>
      <w:r w:rsidR="00703A82" w:rsidRPr="00B62FE0">
        <w:rPr>
          <w:rFonts w:ascii="Arial" w:hAnsi="Arial" w:cs="Arial"/>
          <w:sz w:val="22"/>
          <w:szCs w:val="22"/>
          <w:lang w:val="en-CA"/>
        </w:rPr>
        <w:t>, a number</w:t>
      </w:r>
      <w:r w:rsidR="000026CE" w:rsidRPr="00B62FE0">
        <w:rPr>
          <w:rFonts w:ascii="Arial" w:hAnsi="Arial" w:cs="Arial"/>
          <w:sz w:val="22"/>
          <w:szCs w:val="22"/>
          <w:lang w:val="en-CA"/>
        </w:rPr>
        <w:t xml:space="preserve"> of activities were carried out.</w:t>
      </w:r>
    </w:p>
    <w:p w:rsidR="00E01392" w:rsidRPr="00B62FE0" w:rsidRDefault="00B71A02" w:rsidP="00E01392">
      <w:pPr>
        <w:tabs>
          <w:tab w:val="left" w:pos="900"/>
        </w:tabs>
        <w:jc w:val="center"/>
        <w:rPr>
          <w:rFonts w:ascii="Arial" w:hAnsi="Arial" w:cs="Arial"/>
          <w:i/>
          <w:sz w:val="20"/>
        </w:rPr>
      </w:pPr>
      <w:r w:rsidRPr="00B71A02">
        <w:rPr>
          <w:rFonts w:ascii="Arial" w:hAnsi="Arial" w:cs="Arial"/>
          <w:i/>
          <w:noProof/>
          <w:sz w:val="20"/>
        </w:rPr>
        <w:drawing>
          <wp:inline distT="0" distB="0" distL="0" distR="0">
            <wp:extent cx="5943600" cy="7127736"/>
            <wp:effectExtent l="19050" t="0" r="0" b="0"/>
            <wp:docPr id="4" name="Picture 1" descr="C:\Users\SBurgess\AppData\Local\Microsoft\Windows\Temporary Internet Files\Content.Word\Xstrata HR Land Pack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rgess\AppData\Local\Microsoft\Windows\Temporary Internet Files\Content.Word\Xstrata HR Land Package.jpg"/>
                    <pic:cNvPicPr>
                      <a:picLocks noChangeAspect="1" noChangeArrowheads="1"/>
                    </pic:cNvPicPr>
                  </pic:nvPicPr>
                  <pic:blipFill>
                    <a:blip r:embed="rId10" cstate="print"/>
                    <a:srcRect/>
                    <a:stretch>
                      <a:fillRect/>
                    </a:stretch>
                  </pic:blipFill>
                  <pic:spPr bwMode="auto">
                    <a:xfrm>
                      <a:off x="0" y="0"/>
                      <a:ext cx="5943600" cy="7127736"/>
                    </a:xfrm>
                    <a:prstGeom prst="rect">
                      <a:avLst/>
                    </a:prstGeom>
                    <a:noFill/>
                    <a:ln w="9525">
                      <a:noFill/>
                      <a:miter lim="800000"/>
                      <a:headEnd/>
                      <a:tailEnd/>
                    </a:ln>
                  </pic:spPr>
                </pic:pic>
              </a:graphicData>
            </a:graphic>
          </wp:inline>
        </w:drawing>
      </w:r>
    </w:p>
    <w:p w:rsidR="00B71A02" w:rsidRPr="004D1479" w:rsidRDefault="00B71A02" w:rsidP="00B71A02">
      <w:pPr>
        <w:rPr>
          <w:rFonts w:ascii="Arial" w:hAnsi="Arial" w:cs="Arial"/>
          <w:i/>
          <w:szCs w:val="24"/>
        </w:rPr>
      </w:pPr>
      <w:r>
        <w:rPr>
          <w:rFonts w:ascii="Arial" w:hAnsi="Arial" w:cs="Arial"/>
          <w:i/>
          <w:szCs w:val="24"/>
        </w:rPr>
        <w:t>Figure 1</w:t>
      </w:r>
      <w:r w:rsidRPr="004D1479">
        <w:rPr>
          <w:rFonts w:ascii="Arial" w:hAnsi="Arial" w:cs="Arial"/>
          <w:i/>
          <w:szCs w:val="24"/>
        </w:rPr>
        <w:t xml:space="preserve"> – Xstrata landholdings in the Hackett River / Wishbone area.</w:t>
      </w:r>
    </w:p>
    <w:p w:rsidR="00C8610E" w:rsidRPr="00B62FE0" w:rsidRDefault="00C8610E" w:rsidP="00C8610E">
      <w:pPr>
        <w:pStyle w:val="BodyText"/>
        <w:ind w:left="720"/>
        <w:jc w:val="both"/>
        <w:rPr>
          <w:rFonts w:ascii="Arial" w:hAnsi="Arial" w:cs="Arial"/>
          <w:sz w:val="22"/>
          <w:szCs w:val="22"/>
          <w:lang w:val="en-CA"/>
        </w:rPr>
      </w:pPr>
    </w:p>
    <w:p w:rsidR="00B71A02" w:rsidRPr="00B71A02" w:rsidRDefault="00B71A02" w:rsidP="00B71A02">
      <w:pPr>
        <w:pStyle w:val="Parabody"/>
      </w:pPr>
      <w:r w:rsidRPr="00B71A02">
        <w:lastRenderedPageBreak/>
        <w:t>The 2011 diamond drilling program at Hackett was undertaken in order to increase confidence in the existing deposits as well as to add to the margins of the known deposit boundaries. At Hackett a total of 42 holes were collared for a total of 9,269 m drilled; all within 300 m of 2 of the core deposits (Main Zone, and East Cleaver).</w:t>
      </w:r>
    </w:p>
    <w:p w:rsidR="00B71A02" w:rsidRPr="00B71A02" w:rsidRDefault="00B71A02" w:rsidP="00B71A02">
      <w:pPr>
        <w:pStyle w:val="Parabody"/>
      </w:pPr>
      <w:r w:rsidRPr="00B71A02">
        <w:t>Additional planned early-stage exploration drilling in the D’Arcy Lake area, targeting geophysical anomalies and testing the regional mineralization potential, was suspended after the announcement of the impending sale of the property to Xstrata.</w:t>
      </w:r>
    </w:p>
    <w:p w:rsidR="00B71A02" w:rsidRPr="00B71A02" w:rsidRDefault="00B71A02" w:rsidP="00B71A02">
      <w:pPr>
        <w:pStyle w:val="BodyText"/>
        <w:ind w:left="720"/>
        <w:jc w:val="both"/>
        <w:rPr>
          <w:rFonts w:ascii="Arial" w:hAnsi="Arial" w:cs="Arial"/>
          <w:sz w:val="22"/>
          <w:szCs w:val="22"/>
          <w:lang w:val="en-CA"/>
        </w:rPr>
      </w:pPr>
      <w:r w:rsidRPr="00B71A02">
        <w:rPr>
          <w:rFonts w:ascii="Arial" w:hAnsi="Arial" w:cs="Arial"/>
          <w:sz w:val="22"/>
          <w:szCs w:val="22"/>
        </w:rPr>
        <w:t>Beginning on June 2, and completed by June 19, both diamond drills were moved to test gold targets, which will remain under the control of Sabina. The drills were supported through the Hackett camp, and drilling continued until September 22, to complete 44 drill holes, at which point, both drills were shut down, brought back to the Camp Lake winter laydown area, and winterized</w:t>
      </w:r>
    </w:p>
    <w:p w:rsidR="00B71A02" w:rsidRPr="004D1479" w:rsidRDefault="00B71A02" w:rsidP="00B71A02">
      <w:pPr>
        <w:pStyle w:val="Parabody"/>
      </w:pPr>
      <w:r w:rsidRPr="004D1479">
        <w:t xml:space="preserve">Additional exploration activities during the 2011 season consisted of ground and down-hole geophysical surveys, prospecting and mapping and lake sediment sampling on the Wishbone claims.  Claim staking added a total of 106 claims ( 91,917 ha) to the Wishbone properties during May and additional claims were staked, on behalf of Sabina, in August.   </w:t>
      </w:r>
    </w:p>
    <w:p w:rsidR="00B71A02" w:rsidRDefault="00B71A02" w:rsidP="000026CE">
      <w:pPr>
        <w:pStyle w:val="BodyText"/>
        <w:ind w:left="720"/>
        <w:jc w:val="both"/>
        <w:rPr>
          <w:rFonts w:ascii="Arial" w:hAnsi="Arial" w:cs="Arial"/>
          <w:sz w:val="22"/>
          <w:szCs w:val="22"/>
          <w:lang w:val="en-CA"/>
        </w:rPr>
      </w:pPr>
    </w:p>
    <w:p w:rsidR="00B71A02" w:rsidRDefault="00B71A02" w:rsidP="000026CE">
      <w:pPr>
        <w:pStyle w:val="BodyText"/>
        <w:ind w:left="720"/>
        <w:jc w:val="both"/>
        <w:rPr>
          <w:rFonts w:ascii="Arial" w:hAnsi="Arial" w:cs="Arial"/>
          <w:sz w:val="22"/>
          <w:szCs w:val="22"/>
          <w:lang w:val="en-CA"/>
        </w:rPr>
      </w:pPr>
      <w:r w:rsidRPr="00B71A02">
        <w:rPr>
          <w:rFonts w:ascii="Arial" w:hAnsi="Arial" w:cs="Arial"/>
          <w:noProof/>
          <w:sz w:val="22"/>
          <w:szCs w:val="22"/>
        </w:rPr>
        <w:drawing>
          <wp:inline distT="0" distB="0" distL="0" distR="0">
            <wp:extent cx="5518045" cy="4143375"/>
            <wp:effectExtent l="19050" t="0" r="645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515745" cy="4141648"/>
                    </a:xfrm>
                    <a:prstGeom prst="rect">
                      <a:avLst/>
                    </a:prstGeom>
                    <a:noFill/>
                    <a:ln w="9525">
                      <a:noFill/>
                      <a:miter lim="800000"/>
                      <a:headEnd/>
                      <a:tailEnd/>
                    </a:ln>
                  </pic:spPr>
                </pic:pic>
              </a:graphicData>
            </a:graphic>
          </wp:inline>
        </w:drawing>
      </w:r>
    </w:p>
    <w:p w:rsidR="000026CE" w:rsidRPr="00B71A02" w:rsidRDefault="00B71A02" w:rsidP="000026CE">
      <w:pPr>
        <w:pStyle w:val="Parabody"/>
        <w:tabs>
          <w:tab w:val="clear" w:pos="720"/>
        </w:tabs>
        <w:ind w:left="0"/>
        <w:rPr>
          <w:i/>
        </w:rPr>
      </w:pPr>
      <w:r w:rsidRPr="00B71A02">
        <w:rPr>
          <w:i/>
        </w:rPr>
        <w:t>Figure 2. 2011 drilling, Hackett area, by Sabina Gold &amp; Silver.</w:t>
      </w:r>
    </w:p>
    <w:p w:rsidR="000026CE" w:rsidRDefault="000026CE" w:rsidP="00ED3830">
      <w:pPr>
        <w:ind w:left="900" w:hanging="900"/>
        <w:rPr>
          <w:rFonts w:ascii="Arial" w:hAnsi="Arial" w:cs="Arial"/>
          <w:i/>
          <w:sz w:val="20"/>
        </w:rPr>
      </w:pPr>
    </w:p>
    <w:p w:rsidR="00B71A02" w:rsidRPr="00B62FE0" w:rsidRDefault="00B71A02" w:rsidP="00ED3830">
      <w:pPr>
        <w:ind w:left="900" w:hanging="900"/>
        <w:rPr>
          <w:rFonts w:ascii="Arial" w:hAnsi="Arial" w:cs="Arial"/>
          <w:i/>
          <w:sz w:val="20"/>
        </w:rPr>
      </w:pPr>
    </w:p>
    <w:p w:rsidR="00B71A02" w:rsidRDefault="000026CE" w:rsidP="00B71A02">
      <w:pPr>
        <w:pStyle w:val="BodyText"/>
        <w:ind w:left="720" w:hanging="720"/>
        <w:jc w:val="both"/>
        <w:rPr>
          <w:rFonts w:ascii="Arial" w:hAnsi="Arial" w:cs="Arial"/>
          <w:sz w:val="22"/>
          <w:szCs w:val="22"/>
          <w:lang w:val="en-CA"/>
        </w:rPr>
      </w:pPr>
      <w:r w:rsidRPr="00B62FE0">
        <w:rPr>
          <w:rFonts w:ascii="Arial" w:hAnsi="Arial" w:cs="Arial"/>
          <w:sz w:val="22"/>
          <w:szCs w:val="22"/>
          <w:lang w:val="en-CA"/>
        </w:rPr>
        <w:lastRenderedPageBreak/>
        <w:t>(b)</w:t>
      </w:r>
      <w:r w:rsidRPr="00B62FE0">
        <w:rPr>
          <w:rFonts w:ascii="Arial" w:hAnsi="Arial" w:cs="Arial"/>
          <w:sz w:val="22"/>
          <w:szCs w:val="22"/>
          <w:lang w:val="en-CA"/>
        </w:rPr>
        <w:tab/>
      </w:r>
      <w:bookmarkStart w:id="1" w:name="_Toc184546304"/>
      <w:r w:rsidR="009A3942" w:rsidRPr="00B62FE0">
        <w:rPr>
          <w:rFonts w:ascii="Arial" w:hAnsi="Arial" w:cs="Arial"/>
          <w:sz w:val="22"/>
          <w:szCs w:val="22"/>
          <w:lang w:val="en-CA"/>
        </w:rPr>
        <w:t xml:space="preserve">Plans for </w:t>
      </w:r>
      <w:r w:rsidR="00B71A02">
        <w:rPr>
          <w:rFonts w:ascii="Arial" w:hAnsi="Arial" w:cs="Arial"/>
          <w:sz w:val="22"/>
          <w:szCs w:val="22"/>
          <w:lang w:val="en-CA"/>
        </w:rPr>
        <w:t>2012</w:t>
      </w:r>
      <w:r w:rsidR="00C64D37" w:rsidRPr="00B62FE0">
        <w:rPr>
          <w:rFonts w:ascii="Arial" w:hAnsi="Arial" w:cs="Arial"/>
          <w:sz w:val="22"/>
          <w:szCs w:val="22"/>
          <w:lang w:val="en-CA"/>
        </w:rPr>
        <w:t xml:space="preserve"> </w:t>
      </w:r>
      <w:r w:rsidR="009A3942" w:rsidRPr="00B62FE0">
        <w:rPr>
          <w:rFonts w:ascii="Arial" w:hAnsi="Arial" w:cs="Arial"/>
          <w:sz w:val="22"/>
          <w:szCs w:val="22"/>
          <w:lang w:val="en-CA"/>
        </w:rPr>
        <w:t>include continuing to evaluate the resource potential at the known deposit sites (Main Zone, East Cleaver, Boot Lake, JO Zone) as well as follow up drilling at the D’Arcy Lake area. Geophysical surveys will be conducted to re-evaluate and refine the knowledge of the local geology, and continued mapping in the Wishbone area will be done to further the understanding of the local geology and mineralization controls</w:t>
      </w:r>
      <w:r w:rsidRPr="00B62FE0">
        <w:rPr>
          <w:rFonts w:ascii="Arial" w:hAnsi="Arial" w:cs="Arial"/>
          <w:sz w:val="22"/>
          <w:szCs w:val="22"/>
          <w:lang w:val="en-CA"/>
        </w:rPr>
        <w:t>.</w:t>
      </w:r>
      <w:bookmarkEnd w:id="1"/>
    </w:p>
    <w:p w:rsidR="00A637E8" w:rsidRDefault="00A637E8" w:rsidP="00B71A02">
      <w:pPr>
        <w:pStyle w:val="BodyText"/>
        <w:ind w:left="720" w:hanging="720"/>
        <w:jc w:val="both"/>
        <w:rPr>
          <w:rFonts w:ascii="Arial" w:hAnsi="Arial" w:cs="Arial"/>
          <w:sz w:val="22"/>
          <w:szCs w:val="22"/>
          <w:lang w:val="en-CA"/>
        </w:rPr>
      </w:pPr>
    </w:p>
    <w:p w:rsidR="00A637E8" w:rsidRDefault="00A637E8" w:rsidP="00B71A02">
      <w:pPr>
        <w:pStyle w:val="BodyText"/>
        <w:ind w:left="720" w:hanging="720"/>
        <w:jc w:val="both"/>
        <w:rPr>
          <w:rFonts w:ascii="Arial" w:hAnsi="Arial" w:cs="Arial"/>
          <w:sz w:val="22"/>
          <w:szCs w:val="22"/>
          <w:lang w:val="en-CA"/>
        </w:rPr>
      </w:pPr>
    </w:p>
    <w:p w:rsidR="00B71A02" w:rsidRPr="00B71A02" w:rsidRDefault="00F03BF7" w:rsidP="00B71A02">
      <w:pPr>
        <w:pStyle w:val="BodyText"/>
        <w:ind w:left="720" w:hanging="720"/>
        <w:jc w:val="both"/>
        <w:rPr>
          <w:rFonts w:ascii="Arial" w:hAnsi="Arial" w:cs="Arial"/>
          <w:sz w:val="22"/>
          <w:szCs w:val="22"/>
          <w:lang w:val="en-CA"/>
        </w:rPr>
      </w:pPr>
      <w:r w:rsidRPr="00B62FE0">
        <w:rPr>
          <w:rFonts w:ascii="Arial" w:hAnsi="Arial" w:cs="Arial"/>
          <w:sz w:val="22"/>
          <w:szCs w:val="22"/>
          <w:lang w:val="en-CA"/>
        </w:rPr>
        <w:t>(c)</w:t>
      </w:r>
      <w:r w:rsidRPr="00B62FE0">
        <w:rPr>
          <w:rFonts w:ascii="Arial" w:hAnsi="Arial" w:cs="Arial"/>
          <w:sz w:val="22"/>
          <w:szCs w:val="22"/>
          <w:lang w:val="en-CA"/>
        </w:rPr>
        <w:tab/>
      </w:r>
      <w:r w:rsidR="00B71A02" w:rsidRPr="00B71A02">
        <w:rPr>
          <w:rFonts w:ascii="Arial" w:hAnsi="Arial" w:cs="Arial"/>
          <w:sz w:val="22"/>
          <w:szCs w:val="22"/>
        </w:rPr>
        <w:t>Much of the environmental work on site consisted of ongoing in-house data collection and sampling in order to address data gaps in previous work conducted at the Hackett project.</w:t>
      </w:r>
    </w:p>
    <w:p w:rsidR="00B71A02" w:rsidRPr="004D1479" w:rsidRDefault="00B71A02" w:rsidP="00B71A02">
      <w:pPr>
        <w:pStyle w:val="Parabody"/>
      </w:pPr>
      <w:r w:rsidRPr="004D1479">
        <w:t>The weather station operated continuously over the year to collect temperature, wind (speed and direction), solar radiation and barometric pressure data.</w:t>
      </w:r>
    </w:p>
    <w:p w:rsidR="00B71A02" w:rsidRPr="004D1479" w:rsidRDefault="00B71A02" w:rsidP="00B71A02">
      <w:pPr>
        <w:pStyle w:val="Parabody"/>
      </w:pPr>
      <w:r w:rsidRPr="004D1479">
        <w:t xml:space="preserve">Several issues arose in 2010 with the </w:t>
      </w:r>
      <w:r>
        <w:t xml:space="preserve">thermistor </w:t>
      </w:r>
      <w:r w:rsidRPr="004D1479">
        <w:t xml:space="preserve">data loggers and </w:t>
      </w:r>
      <w:r>
        <w:t xml:space="preserve">permafrost </w:t>
      </w:r>
      <w:r w:rsidRPr="004D1479">
        <w:t>monitoring stations; plans for 2011 included replacement of the data loggers to simplify the data collection process.  However, in the end, only one data logger was operational (Camp Lake), while the other still remains under repair, with plans to reinstall in early 2012.</w:t>
      </w:r>
    </w:p>
    <w:p w:rsidR="00A637E8" w:rsidRDefault="00B71A02" w:rsidP="00A637E8">
      <w:pPr>
        <w:pStyle w:val="Parabody"/>
      </w:pPr>
      <w:r w:rsidRPr="004D1479">
        <w:t>Acid rock drainage/metal leaching (ARD/ML) sampling included weathering bin drainage samples from ongoing field testing of the potential ore and waste material. Attempts at sample collection were made twice during the year; there was insufficient leachate material for sampling during the second attempt later in the summer</w:t>
      </w:r>
    </w:p>
    <w:p w:rsidR="00A637E8" w:rsidRDefault="00A637E8" w:rsidP="00A637E8">
      <w:pPr>
        <w:pStyle w:val="Parabody"/>
      </w:pPr>
    </w:p>
    <w:p w:rsidR="00A637E8" w:rsidRDefault="00B71A02" w:rsidP="00A637E8">
      <w:pPr>
        <w:pStyle w:val="Parabody"/>
        <w:ind w:left="0"/>
      </w:pPr>
      <w:r>
        <w:t>(d)</w:t>
      </w:r>
      <w:r>
        <w:tab/>
      </w:r>
    </w:p>
    <w:p w:rsidR="00B71A02" w:rsidRPr="004D1479" w:rsidRDefault="00B71A02" w:rsidP="00A637E8">
      <w:pPr>
        <w:pStyle w:val="Parabody"/>
      </w:pPr>
      <w:r w:rsidRPr="004D1479">
        <w:t xml:space="preserve">Several grizzly bears were seen around camp during the course of the 2011 season.  The first bears were seen in late April, though neither sighting was within camp boundaries.  Subsequent bear sightings occurred at the esker strip south of camp, in the Finger Lake area, and a bear was observed chasing a caribou on the Mara River, in late May.  </w:t>
      </w:r>
    </w:p>
    <w:p w:rsidR="00B71A02" w:rsidRPr="004D1479" w:rsidRDefault="00B71A02" w:rsidP="00B71A02">
      <w:pPr>
        <w:pStyle w:val="Parabody"/>
      </w:pPr>
      <w:r w:rsidRPr="004D1479">
        <w:t xml:space="preserve">Later in the season, a sow and her cub, often followed by a large male grizzly were seen around the south end of camp, where the incinerator is located.  They were spotted on numerous occasions, in the evening, and were chased away by shouting and/or the helicopter on each occasion.  In all cases, the bears were non-threatening, and showed no interest in entering camp further, now did they pose a threat to property or persons in camp.  </w:t>
      </w:r>
    </w:p>
    <w:p w:rsidR="00B71A02" w:rsidRDefault="00B71A02" w:rsidP="00B71A02">
      <w:pPr>
        <w:pStyle w:val="Parabody"/>
      </w:pPr>
      <w:r w:rsidRPr="004D1479">
        <w:t>Bears were seen until mid September, and then there were no reported sightings or signs of bears within 1Km of camp until closure on October 2.</w:t>
      </w:r>
    </w:p>
    <w:p w:rsidR="00A637E8" w:rsidRDefault="00A637E8" w:rsidP="00B71A02">
      <w:pPr>
        <w:pStyle w:val="Parabody"/>
      </w:pPr>
    </w:p>
    <w:p w:rsidR="00A637E8" w:rsidRPr="004D1479" w:rsidRDefault="00A637E8" w:rsidP="00B71A02">
      <w:pPr>
        <w:pStyle w:val="Parabody"/>
      </w:pPr>
    </w:p>
    <w:p w:rsidR="009C204E" w:rsidRDefault="00B71A02" w:rsidP="00446849">
      <w:pPr>
        <w:pStyle w:val="BodyText"/>
        <w:ind w:left="720" w:hanging="720"/>
        <w:jc w:val="both"/>
        <w:rPr>
          <w:rFonts w:ascii="Arial" w:hAnsi="Arial" w:cs="Arial"/>
          <w:sz w:val="22"/>
          <w:szCs w:val="22"/>
          <w:lang w:val="en-CA"/>
        </w:rPr>
      </w:pPr>
      <w:r w:rsidRPr="00B62FE0">
        <w:rPr>
          <w:rFonts w:ascii="Arial" w:hAnsi="Arial" w:cs="Arial"/>
          <w:sz w:val="22"/>
          <w:szCs w:val="22"/>
          <w:lang w:val="en-CA"/>
        </w:rPr>
        <w:t xml:space="preserve"> </w:t>
      </w:r>
      <w:r w:rsidR="00F03BF7" w:rsidRPr="00B62FE0">
        <w:rPr>
          <w:rFonts w:ascii="Arial" w:hAnsi="Arial" w:cs="Arial"/>
          <w:sz w:val="22"/>
          <w:szCs w:val="22"/>
          <w:lang w:val="en-CA"/>
        </w:rPr>
        <w:t>(e)</w:t>
      </w:r>
      <w:r w:rsidR="00F03BF7" w:rsidRPr="00B62FE0">
        <w:rPr>
          <w:rFonts w:ascii="Arial" w:hAnsi="Arial" w:cs="Arial"/>
          <w:sz w:val="22"/>
          <w:szCs w:val="22"/>
          <w:lang w:val="en-CA"/>
        </w:rPr>
        <w:tab/>
      </w:r>
    </w:p>
    <w:p w:rsidR="009C204E" w:rsidRPr="004D1479" w:rsidRDefault="009C204E" w:rsidP="009C204E">
      <w:pPr>
        <w:pStyle w:val="Parabody"/>
      </w:pPr>
      <w:r w:rsidRPr="004D1479">
        <w:t xml:space="preserve">The following table identifies the Nunavut Land Claim Agreement (NLCA) beneficiaries employed by Sabina and total days worked on the Hackett property. The table does not include those workers employed by contractors/suppliers. </w:t>
      </w:r>
    </w:p>
    <w:p w:rsidR="009C204E" w:rsidRPr="004D1479" w:rsidRDefault="009C204E" w:rsidP="009C204E">
      <w:pPr>
        <w:pStyle w:val="Parabody"/>
      </w:pPr>
    </w:p>
    <w:p w:rsidR="009C204E" w:rsidRPr="004D1479" w:rsidRDefault="009C204E" w:rsidP="009C204E">
      <w:pPr>
        <w:ind w:left="108"/>
        <w:rPr>
          <w:rFonts w:ascii="Arial" w:hAnsi="Arial" w:cs="Arial"/>
          <w:b/>
          <w:bCs/>
          <w:color w:val="000000"/>
          <w:sz w:val="20"/>
        </w:rPr>
      </w:pPr>
      <w:r w:rsidRPr="004D1479">
        <w:rPr>
          <w:rFonts w:ascii="Arial" w:hAnsi="Arial" w:cs="Arial"/>
          <w:b/>
          <w:bCs/>
          <w:color w:val="000000"/>
          <w:sz w:val="20"/>
        </w:rPr>
        <w:lastRenderedPageBreak/>
        <w:t>HACKETT / WISHBONE PROJECTS COMBINED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1984"/>
        <w:gridCol w:w="1134"/>
      </w:tblGrid>
      <w:tr w:rsidR="009C204E" w:rsidRPr="004D1479" w:rsidTr="00A637E8">
        <w:tc>
          <w:tcPr>
            <w:tcW w:w="2268" w:type="dxa"/>
            <w:shd w:val="clear" w:color="auto" w:fill="auto"/>
            <w:noWrap/>
            <w:vAlign w:val="center"/>
            <w:hideMark/>
          </w:tcPr>
          <w:p w:rsidR="009C204E" w:rsidRPr="004D1479" w:rsidRDefault="009C204E" w:rsidP="00ED32BA">
            <w:pPr>
              <w:rPr>
                <w:rFonts w:ascii="Arial" w:hAnsi="Arial" w:cs="Arial"/>
                <w:b/>
                <w:bCs/>
                <w:color w:val="000000"/>
                <w:sz w:val="20"/>
              </w:rPr>
            </w:pPr>
            <w:r w:rsidRPr="004D1479">
              <w:rPr>
                <w:rFonts w:ascii="Arial" w:hAnsi="Arial" w:cs="Arial"/>
                <w:b/>
                <w:bCs/>
                <w:color w:val="000000"/>
                <w:sz w:val="20"/>
              </w:rPr>
              <w:t>Name</w:t>
            </w:r>
          </w:p>
        </w:tc>
        <w:tc>
          <w:tcPr>
            <w:tcW w:w="3686" w:type="dxa"/>
            <w:shd w:val="clear" w:color="auto" w:fill="auto"/>
            <w:noWrap/>
            <w:vAlign w:val="center"/>
            <w:hideMark/>
          </w:tcPr>
          <w:p w:rsidR="009C204E" w:rsidRPr="004D1479" w:rsidRDefault="009C204E" w:rsidP="00ED32BA">
            <w:pPr>
              <w:rPr>
                <w:rFonts w:ascii="Arial" w:hAnsi="Arial" w:cs="Arial"/>
                <w:b/>
                <w:bCs/>
                <w:color w:val="000000"/>
                <w:sz w:val="20"/>
              </w:rPr>
            </w:pPr>
            <w:r w:rsidRPr="004D1479">
              <w:rPr>
                <w:rFonts w:ascii="Arial" w:hAnsi="Arial" w:cs="Arial"/>
                <w:b/>
                <w:bCs/>
                <w:color w:val="000000"/>
                <w:sz w:val="20"/>
              </w:rPr>
              <w:t>Position</w:t>
            </w:r>
          </w:p>
        </w:tc>
        <w:tc>
          <w:tcPr>
            <w:tcW w:w="1984" w:type="dxa"/>
            <w:shd w:val="clear" w:color="auto" w:fill="auto"/>
            <w:noWrap/>
            <w:vAlign w:val="center"/>
            <w:hideMark/>
          </w:tcPr>
          <w:p w:rsidR="009C204E" w:rsidRPr="004D1479" w:rsidRDefault="009C204E" w:rsidP="00ED32BA">
            <w:pPr>
              <w:rPr>
                <w:rFonts w:ascii="Arial" w:hAnsi="Arial" w:cs="Arial"/>
                <w:b/>
                <w:bCs/>
                <w:color w:val="000000"/>
                <w:sz w:val="20"/>
              </w:rPr>
            </w:pPr>
            <w:r w:rsidRPr="004D1479">
              <w:rPr>
                <w:rFonts w:ascii="Arial" w:hAnsi="Arial" w:cs="Arial"/>
                <w:b/>
                <w:bCs/>
                <w:color w:val="000000"/>
                <w:sz w:val="20"/>
              </w:rPr>
              <w:t>Community</w:t>
            </w:r>
          </w:p>
        </w:tc>
        <w:tc>
          <w:tcPr>
            <w:tcW w:w="1134" w:type="dxa"/>
            <w:shd w:val="clear" w:color="auto" w:fill="auto"/>
            <w:noWrap/>
            <w:vAlign w:val="center"/>
            <w:hideMark/>
          </w:tcPr>
          <w:p w:rsidR="009C204E" w:rsidRPr="004D1479" w:rsidRDefault="009C204E" w:rsidP="00ED32BA">
            <w:pPr>
              <w:jc w:val="center"/>
              <w:rPr>
                <w:rFonts w:ascii="Arial" w:hAnsi="Arial" w:cs="Arial"/>
                <w:b/>
                <w:bCs/>
                <w:color w:val="000000"/>
                <w:sz w:val="20"/>
              </w:rPr>
            </w:pPr>
            <w:r w:rsidRPr="004D1479">
              <w:rPr>
                <w:rFonts w:ascii="Arial" w:hAnsi="Arial" w:cs="Arial"/>
                <w:b/>
                <w:bCs/>
                <w:color w:val="000000"/>
                <w:sz w:val="20"/>
              </w:rPr>
              <w:t>Days</w:t>
            </w: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Albert Anavilok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Hand, Mechanical</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Kugluktuk</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Bob Kohoktak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Hand, Supervisor</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Kugluktuk</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Chris Ipakohak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Man, Core Cutter</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Kugluktuk</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Frank Ipakohak</w:t>
            </w:r>
          </w:p>
        </w:tc>
        <w:tc>
          <w:tcPr>
            <w:tcW w:w="3686" w:type="dxa"/>
            <w:shd w:val="clear" w:color="auto" w:fill="auto"/>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Hand, Environmental Assistant, Community Relations Manager</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Kugluktuk</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Jerry Oniak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Field (Survey) Technician</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Kugluktuk</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John Jr. Kuneluk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Hand, Mechanical</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Kugluktuk</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7938" w:type="dxa"/>
            <w:gridSpan w:val="3"/>
            <w:shd w:val="clear" w:color="auto" w:fill="auto"/>
            <w:noWrap/>
            <w:hideMark/>
          </w:tcPr>
          <w:p w:rsidR="009C204E" w:rsidRPr="004D1479" w:rsidRDefault="009C204E" w:rsidP="00ED32BA">
            <w:pPr>
              <w:jc w:val="right"/>
              <w:rPr>
                <w:rFonts w:ascii="Arial" w:hAnsi="Arial" w:cs="Arial"/>
                <w:b/>
                <w:bCs/>
                <w:color w:val="000000"/>
                <w:sz w:val="20"/>
              </w:rPr>
            </w:pPr>
            <w:r w:rsidRPr="004D1479">
              <w:rPr>
                <w:rFonts w:ascii="Arial" w:hAnsi="Arial" w:cs="Arial"/>
                <w:b/>
                <w:bCs/>
                <w:color w:val="000000"/>
                <w:sz w:val="20"/>
              </w:rPr>
              <w:t>Total Kugluktuk</w:t>
            </w:r>
          </w:p>
        </w:tc>
        <w:tc>
          <w:tcPr>
            <w:tcW w:w="1134" w:type="dxa"/>
            <w:shd w:val="clear" w:color="auto" w:fill="auto"/>
            <w:noWrap/>
            <w:hideMark/>
          </w:tcPr>
          <w:p w:rsidR="009C204E" w:rsidRPr="004D1479" w:rsidRDefault="009C204E" w:rsidP="00ED32BA">
            <w:pPr>
              <w:jc w:val="right"/>
              <w:rPr>
                <w:rFonts w:ascii="Arial" w:hAnsi="Arial" w:cs="Arial"/>
                <w:b/>
                <w:bCs/>
                <w:color w:val="000000"/>
                <w:sz w:val="20"/>
              </w:rPr>
            </w:pPr>
            <w:r w:rsidRPr="004D1479">
              <w:rPr>
                <w:rFonts w:ascii="Arial" w:hAnsi="Arial" w:cs="Arial"/>
                <w:b/>
                <w:bCs/>
                <w:color w:val="000000"/>
                <w:sz w:val="20"/>
              </w:rPr>
              <w:t>741</w:t>
            </w:r>
          </w:p>
        </w:tc>
      </w:tr>
      <w:tr w:rsidR="009C204E" w:rsidRPr="004D1479" w:rsidTr="00A637E8">
        <w:tc>
          <w:tcPr>
            <w:tcW w:w="2268" w:type="dxa"/>
            <w:shd w:val="clear" w:color="auto" w:fill="auto"/>
            <w:noWrap/>
            <w:hideMark/>
          </w:tcPr>
          <w:p w:rsidR="009C204E" w:rsidRPr="004D1479" w:rsidRDefault="009C204E" w:rsidP="00ED32BA">
            <w:pPr>
              <w:rPr>
                <w:rFonts w:ascii="Arial" w:hAnsi="Arial" w:cs="Arial"/>
                <w:color w:val="000000"/>
                <w:sz w:val="20"/>
              </w:rPr>
            </w:pPr>
            <w:r w:rsidRPr="004D1479">
              <w:rPr>
                <w:rFonts w:ascii="Arial" w:hAnsi="Arial" w:cs="Arial"/>
                <w:color w:val="000000"/>
                <w:sz w:val="20"/>
              </w:rPr>
              <w:t>Ramona Kikpak</w:t>
            </w:r>
          </w:p>
        </w:tc>
        <w:tc>
          <w:tcPr>
            <w:tcW w:w="3686" w:type="dxa"/>
            <w:shd w:val="clear" w:color="auto" w:fill="auto"/>
            <w:noWrap/>
            <w:hideMark/>
          </w:tcPr>
          <w:p w:rsidR="009C204E" w:rsidRPr="004D1479" w:rsidRDefault="009C204E" w:rsidP="00ED32BA">
            <w:pPr>
              <w:rPr>
                <w:rFonts w:ascii="Arial" w:hAnsi="Arial" w:cs="Arial"/>
                <w:color w:val="000000"/>
                <w:sz w:val="20"/>
              </w:rPr>
            </w:pPr>
            <w:r w:rsidRPr="004D1479">
              <w:rPr>
                <w:rFonts w:ascii="Arial" w:hAnsi="Arial" w:cs="Arial"/>
                <w:color w:val="000000"/>
                <w:sz w:val="20"/>
              </w:rPr>
              <w:t>Camp Hand, Sample Prep</w:t>
            </w:r>
          </w:p>
        </w:tc>
        <w:tc>
          <w:tcPr>
            <w:tcW w:w="1984" w:type="dxa"/>
            <w:shd w:val="clear" w:color="auto" w:fill="auto"/>
            <w:noWrap/>
            <w:hideMark/>
          </w:tcPr>
          <w:p w:rsidR="009C204E" w:rsidRPr="004D1479" w:rsidRDefault="009C204E" w:rsidP="00ED32BA">
            <w:pPr>
              <w:rPr>
                <w:rFonts w:ascii="Arial" w:hAnsi="Arial" w:cs="Arial"/>
                <w:color w:val="000000"/>
                <w:sz w:val="20"/>
              </w:rPr>
            </w:pPr>
            <w:r w:rsidRPr="004D1479">
              <w:rPr>
                <w:rFonts w:ascii="Arial" w:hAnsi="Arial" w:cs="Arial"/>
                <w:color w:val="000000"/>
                <w:sz w:val="20"/>
              </w:rPr>
              <w:t>Gjoa Haven</w:t>
            </w:r>
          </w:p>
        </w:tc>
        <w:tc>
          <w:tcPr>
            <w:tcW w:w="1134" w:type="dxa"/>
            <w:shd w:val="clear" w:color="auto" w:fill="auto"/>
            <w:noWrap/>
            <w:hideMark/>
          </w:tcPr>
          <w:p w:rsidR="009C204E" w:rsidRPr="004D1479" w:rsidRDefault="009C204E" w:rsidP="00ED32BA">
            <w:pPr>
              <w:jc w:val="center"/>
              <w:rPr>
                <w:rFonts w:ascii="Arial"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jc w:val="right"/>
              <w:rPr>
                <w:rFonts w:ascii="Arial" w:hAnsi="Arial" w:cs="Arial"/>
                <w:color w:val="000000"/>
                <w:sz w:val="20"/>
              </w:rPr>
            </w:pPr>
          </w:p>
        </w:tc>
        <w:tc>
          <w:tcPr>
            <w:tcW w:w="3686" w:type="dxa"/>
            <w:shd w:val="clear" w:color="auto" w:fill="auto"/>
            <w:noWrap/>
            <w:hideMark/>
          </w:tcPr>
          <w:p w:rsidR="009C204E" w:rsidRPr="004D1479" w:rsidRDefault="009C204E" w:rsidP="00ED32BA">
            <w:pPr>
              <w:jc w:val="right"/>
              <w:rPr>
                <w:rFonts w:ascii="Arial" w:hAnsi="Arial" w:cs="Arial"/>
                <w:color w:val="000000"/>
                <w:sz w:val="20"/>
              </w:rPr>
            </w:pPr>
          </w:p>
        </w:tc>
        <w:tc>
          <w:tcPr>
            <w:tcW w:w="1984" w:type="dxa"/>
            <w:shd w:val="clear" w:color="auto" w:fill="auto"/>
            <w:noWrap/>
            <w:hideMark/>
          </w:tcPr>
          <w:p w:rsidR="009C204E" w:rsidRPr="004D1479" w:rsidRDefault="009C204E" w:rsidP="00ED32BA">
            <w:pPr>
              <w:jc w:val="right"/>
              <w:rPr>
                <w:rFonts w:ascii="Arial" w:hAnsi="Arial" w:cs="Arial"/>
                <w:b/>
                <w:bCs/>
                <w:color w:val="000000"/>
                <w:sz w:val="20"/>
              </w:rPr>
            </w:pPr>
            <w:r w:rsidRPr="004D1479">
              <w:rPr>
                <w:rFonts w:ascii="Arial" w:hAnsi="Arial" w:cs="Arial"/>
                <w:b/>
                <w:bCs/>
                <w:color w:val="000000"/>
                <w:sz w:val="20"/>
              </w:rPr>
              <w:t>Total Gjoa Haven</w:t>
            </w:r>
          </w:p>
        </w:tc>
        <w:tc>
          <w:tcPr>
            <w:tcW w:w="1134" w:type="dxa"/>
            <w:shd w:val="clear" w:color="auto" w:fill="auto"/>
            <w:noWrap/>
            <w:hideMark/>
          </w:tcPr>
          <w:p w:rsidR="009C204E" w:rsidRPr="004D1479" w:rsidRDefault="009C204E" w:rsidP="00ED32BA">
            <w:pPr>
              <w:jc w:val="right"/>
              <w:rPr>
                <w:rFonts w:ascii="Arial" w:hAnsi="Arial" w:cs="Arial"/>
                <w:b/>
                <w:bCs/>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Andrew Pokiak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Hand</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Cambridge Bay</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Carl Atatahak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Core Cutter</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Cambridge Bay</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Cody Evalik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Core Cutter</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Cambridge Bay</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George Taptuna</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Core Cutter</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Cambridge Bay</w:t>
            </w:r>
          </w:p>
        </w:tc>
        <w:tc>
          <w:tcPr>
            <w:tcW w:w="1134" w:type="dxa"/>
            <w:shd w:val="clear" w:color="auto" w:fill="auto"/>
            <w:noWrap/>
            <w:hideMark/>
          </w:tcPr>
          <w:p w:rsidR="009C204E" w:rsidRPr="004D1479" w:rsidRDefault="009C204E" w:rsidP="00ED32BA">
            <w:pP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Lucie Tedjuk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 kitchen/cleaning/sample prep</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Cambridge Bay</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Martin McCallum</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Hand, Carpenter</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Cambridge Bay</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Mary-Anne Palvialok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 kitchen/cleaning/sample prep</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Cambridge Bay</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7938" w:type="dxa"/>
            <w:gridSpan w:val="3"/>
            <w:shd w:val="clear" w:color="auto" w:fill="auto"/>
            <w:noWrap/>
            <w:hideMark/>
          </w:tcPr>
          <w:p w:rsidR="009C204E" w:rsidRPr="004D1479" w:rsidRDefault="009C204E" w:rsidP="00ED32BA">
            <w:pPr>
              <w:jc w:val="right"/>
              <w:rPr>
                <w:rFonts w:ascii="Arial" w:hAnsi="Arial" w:cs="Arial"/>
                <w:b/>
                <w:bCs/>
                <w:color w:val="000000"/>
                <w:sz w:val="20"/>
              </w:rPr>
            </w:pPr>
            <w:r w:rsidRPr="004D1479">
              <w:rPr>
                <w:rFonts w:ascii="Arial" w:hAnsi="Arial" w:cs="Arial"/>
                <w:b/>
                <w:bCs/>
                <w:color w:val="000000"/>
                <w:sz w:val="20"/>
              </w:rPr>
              <w:t>Total Cambridge Bay</w:t>
            </w:r>
          </w:p>
        </w:tc>
        <w:tc>
          <w:tcPr>
            <w:tcW w:w="1134" w:type="dxa"/>
            <w:shd w:val="clear" w:color="auto" w:fill="auto"/>
            <w:noWrap/>
            <w:hideMark/>
          </w:tcPr>
          <w:p w:rsidR="009C204E" w:rsidRPr="004D1479" w:rsidRDefault="009C204E" w:rsidP="00ED32BA">
            <w:pPr>
              <w:jc w:val="right"/>
              <w:rPr>
                <w:rFonts w:ascii="Arial" w:hAnsi="Arial" w:cs="Arial"/>
                <w:b/>
                <w:bCs/>
                <w:color w:val="000000"/>
                <w:sz w:val="20"/>
              </w:rPr>
            </w:pPr>
            <w:r w:rsidRPr="004D1479">
              <w:rPr>
                <w:rFonts w:ascii="Arial" w:hAnsi="Arial" w:cs="Arial"/>
                <w:b/>
                <w:bCs/>
                <w:color w:val="000000"/>
                <w:sz w:val="20"/>
              </w:rPr>
              <w:t>601</w:t>
            </w: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Amanda Anavilok</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 kitchen/cleaning/sample prep</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Yellowknife</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2268"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Trish Hala</w:t>
            </w:r>
          </w:p>
        </w:tc>
        <w:tc>
          <w:tcPr>
            <w:tcW w:w="3686"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Camp – kitchen/cleaning/sample prep</w:t>
            </w:r>
          </w:p>
        </w:tc>
        <w:tc>
          <w:tcPr>
            <w:tcW w:w="1984" w:type="dxa"/>
            <w:shd w:val="clear" w:color="auto" w:fill="auto"/>
            <w:noWrap/>
            <w:hideMark/>
          </w:tcPr>
          <w:p w:rsidR="009C204E" w:rsidRPr="004D1479" w:rsidRDefault="009C204E" w:rsidP="00ED32BA">
            <w:pPr>
              <w:rPr>
                <w:rFonts w:ascii="Arial" w:eastAsiaTheme="minorHAnsi" w:hAnsi="Arial" w:cs="Arial"/>
                <w:color w:val="000000"/>
                <w:sz w:val="20"/>
              </w:rPr>
            </w:pPr>
            <w:r w:rsidRPr="004D1479">
              <w:rPr>
                <w:rFonts w:ascii="Arial" w:eastAsiaTheme="minorHAnsi" w:hAnsi="Arial" w:cs="Arial"/>
                <w:color w:val="000000"/>
                <w:sz w:val="20"/>
              </w:rPr>
              <w:t>Yellowknife</w:t>
            </w:r>
          </w:p>
        </w:tc>
        <w:tc>
          <w:tcPr>
            <w:tcW w:w="1134" w:type="dxa"/>
            <w:shd w:val="clear" w:color="auto" w:fill="auto"/>
            <w:noWrap/>
            <w:hideMark/>
          </w:tcPr>
          <w:p w:rsidR="009C204E" w:rsidRPr="004D1479" w:rsidRDefault="009C204E" w:rsidP="00ED32BA">
            <w:pPr>
              <w:jc w:val="center"/>
              <w:rPr>
                <w:rFonts w:ascii="Arial" w:eastAsiaTheme="minorHAnsi" w:hAnsi="Arial" w:cs="Arial"/>
                <w:color w:val="000000"/>
                <w:sz w:val="20"/>
              </w:rPr>
            </w:pPr>
          </w:p>
        </w:tc>
      </w:tr>
      <w:tr w:rsidR="009C204E" w:rsidRPr="004D1479" w:rsidTr="00A637E8">
        <w:tc>
          <w:tcPr>
            <w:tcW w:w="7938" w:type="dxa"/>
            <w:gridSpan w:val="3"/>
            <w:shd w:val="clear" w:color="auto" w:fill="auto"/>
            <w:noWrap/>
            <w:hideMark/>
          </w:tcPr>
          <w:p w:rsidR="009C204E" w:rsidRPr="004D1479" w:rsidRDefault="009C204E" w:rsidP="00ED32BA">
            <w:pPr>
              <w:jc w:val="right"/>
              <w:rPr>
                <w:rFonts w:ascii="Arial" w:hAnsi="Arial" w:cs="Arial"/>
                <w:b/>
                <w:bCs/>
                <w:color w:val="000000"/>
                <w:sz w:val="20"/>
              </w:rPr>
            </w:pPr>
            <w:r w:rsidRPr="004D1479">
              <w:rPr>
                <w:rFonts w:ascii="Arial" w:hAnsi="Arial" w:cs="Arial"/>
                <w:b/>
                <w:bCs/>
                <w:color w:val="000000"/>
                <w:sz w:val="20"/>
              </w:rPr>
              <w:t>Total Yellowknife</w:t>
            </w:r>
          </w:p>
        </w:tc>
        <w:tc>
          <w:tcPr>
            <w:tcW w:w="1134" w:type="dxa"/>
            <w:shd w:val="clear" w:color="auto" w:fill="auto"/>
            <w:noWrap/>
            <w:hideMark/>
          </w:tcPr>
          <w:p w:rsidR="009C204E" w:rsidRPr="004D1479" w:rsidRDefault="009C204E" w:rsidP="00ED32BA">
            <w:pPr>
              <w:jc w:val="right"/>
              <w:rPr>
                <w:rFonts w:ascii="Arial" w:hAnsi="Arial" w:cs="Arial"/>
                <w:b/>
                <w:bCs/>
                <w:color w:val="000000"/>
                <w:sz w:val="20"/>
              </w:rPr>
            </w:pPr>
            <w:r w:rsidRPr="004D1479">
              <w:rPr>
                <w:rFonts w:ascii="Arial" w:hAnsi="Arial" w:cs="Arial"/>
                <w:b/>
                <w:bCs/>
                <w:color w:val="000000"/>
                <w:sz w:val="20"/>
              </w:rPr>
              <w:t>128</w:t>
            </w:r>
          </w:p>
        </w:tc>
      </w:tr>
      <w:tr w:rsidR="009C204E" w:rsidRPr="004D1479" w:rsidTr="00A637E8">
        <w:tc>
          <w:tcPr>
            <w:tcW w:w="7938" w:type="dxa"/>
            <w:gridSpan w:val="3"/>
            <w:shd w:val="clear" w:color="auto" w:fill="auto"/>
            <w:noWrap/>
            <w:hideMark/>
          </w:tcPr>
          <w:p w:rsidR="009C204E" w:rsidRPr="004D1479" w:rsidRDefault="009C204E" w:rsidP="00ED32BA">
            <w:pPr>
              <w:jc w:val="right"/>
              <w:rPr>
                <w:rFonts w:ascii="Arial" w:hAnsi="Arial" w:cs="Arial"/>
                <w:i/>
                <w:color w:val="000000"/>
                <w:sz w:val="20"/>
              </w:rPr>
            </w:pPr>
            <w:r w:rsidRPr="004D1479">
              <w:rPr>
                <w:rFonts w:ascii="Arial" w:hAnsi="Arial" w:cs="Arial"/>
                <w:b/>
                <w:bCs/>
                <w:i/>
                <w:color w:val="000000"/>
                <w:sz w:val="20"/>
              </w:rPr>
              <w:t>Total Hackett Project</w:t>
            </w:r>
          </w:p>
        </w:tc>
        <w:tc>
          <w:tcPr>
            <w:tcW w:w="1134" w:type="dxa"/>
            <w:shd w:val="clear" w:color="auto" w:fill="auto"/>
            <w:noWrap/>
            <w:hideMark/>
          </w:tcPr>
          <w:p w:rsidR="009C204E" w:rsidRPr="004D1479" w:rsidRDefault="009C204E" w:rsidP="00ED32BA">
            <w:pPr>
              <w:jc w:val="center"/>
              <w:rPr>
                <w:rFonts w:ascii="Arial" w:hAnsi="Arial" w:cs="Arial"/>
                <w:b/>
                <w:bCs/>
                <w:i/>
                <w:color w:val="000000"/>
                <w:sz w:val="20"/>
              </w:rPr>
            </w:pPr>
            <w:r w:rsidRPr="004D1479">
              <w:rPr>
                <w:rFonts w:ascii="Arial" w:hAnsi="Arial" w:cs="Arial"/>
                <w:b/>
                <w:bCs/>
                <w:i/>
                <w:color w:val="000000"/>
                <w:sz w:val="20"/>
              </w:rPr>
              <w:t>1476</w:t>
            </w:r>
          </w:p>
        </w:tc>
      </w:tr>
    </w:tbl>
    <w:p w:rsidR="0000009B" w:rsidRPr="00B62FE0" w:rsidRDefault="0000009B" w:rsidP="0000009B">
      <w:pPr>
        <w:pStyle w:val="Paracaption"/>
      </w:pPr>
      <w:r w:rsidRPr="00B62FE0">
        <w:t xml:space="preserve">Table </w:t>
      </w:r>
      <w:r w:rsidR="000026CE" w:rsidRPr="00B62FE0">
        <w:t>1</w:t>
      </w:r>
      <w:r w:rsidRPr="00B62FE0">
        <w:t>. NLCA beneficiary</w:t>
      </w:r>
      <w:r w:rsidR="009C204E">
        <w:t xml:space="preserve"> employees of Hackett camp, 2011</w:t>
      </w:r>
      <w:r w:rsidRPr="00B62FE0">
        <w:t>.</w:t>
      </w:r>
    </w:p>
    <w:p w:rsidR="00204E57" w:rsidRPr="00B62FE0" w:rsidRDefault="00204E57" w:rsidP="0000009B">
      <w:pPr>
        <w:pStyle w:val="Paracaption"/>
      </w:pPr>
    </w:p>
    <w:p w:rsidR="0000009B" w:rsidRPr="00B62FE0" w:rsidRDefault="0000009B" w:rsidP="0000009B">
      <w:pPr>
        <w:pStyle w:val="Paracaption"/>
      </w:pPr>
    </w:p>
    <w:p w:rsidR="001E6326" w:rsidRDefault="00461B80" w:rsidP="001F31EA">
      <w:pPr>
        <w:pStyle w:val="BodyText"/>
        <w:ind w:left="720" w:hanging="720"/>
        <w:rPr>
          <w:rFonts w:ascii="Arial" w:hAnsi="Arial" w:cs="Arial"/>
          <w:sz w:val="22"/>
          <w:szCs w:val="22"/>
          <w:lang w:val="en-CA"/>
        </w:rPr>
      </w:pPr>
      <w:r w:rsidRPr="00B62FE0">
        <w:rPr>
          <w:rFonts w:ascii="Arial" w:hAnsi="Arial" w:cs="Arial"/>
          <w:sz w:val="22"/>
          <w:szCs w:val="22"/>
          <w:lang w:val="en-CA"/>
        </w:rPr>
        <w:t>(f)</w:t>
      </w:r>
      <w:r w:rsidRPr="00B62FE0">
        <w:rPr>
          <w:rFonts w:ascii="Arial" w:hAnsi="Arial" w:cs="Arial"/>
          <w:sz w:val="22"/>
          <w:szCs w:val="22"/>
          <w:lang w:val="en-CA"/>
        </w:rPr>
        <w:tab/>
      </w:r>
      <w:r w:rsidR="0000009B" w:rsidRPr="00B62FE0">
        <w:rPr>
          <w:rFonts w:ascii="Arial" w:hAnsi="Arial" w:cs="Arial"/>
          <w:sz w:val="22"/>
          <w:szCs w:val="22"/>
          <w:lang w:val="en-CA"/>
        </w:rPr>
        <w:t>Sabina did not conduct any formal community engagement or</w:t>
      </w:r>
      <w:r w:rsidR="009C204E">
        <w:rPr>
          <w:rFonts w:ascii="Arial" w:hAnsi="Arial" w:cs="Arial"/>
          <w:sz w:val="22"/>
          <w:szCs w:val="22"/>
          <w:lang w:val="en-CA"/>
        </w:rPr>
        <w:t xml:space="preserve"> consultation activities in 2011</w:t>
      </w:r>
      <w:r w:rsidR="0000009B" w:rsidRPr="00B62FE0">
        <w:rPr>
          <w:rFonts w:ascii="Arial" w:hAnsi="Arial" w:cs="Arial"/>
          <w:sz w:val="22"/>
          <w:szCs w:val="22"/>
          <w:lang w:val="en-CA"/>
        </w:rPr>
        <w:t>. Representatives from the company regularly attend various trade shows and conferences where members of the various regulatory agencies are present, and make an effort to discuss project details and plans</w:t>
      </w:r>
      <w:r w:rsidR="007C5B68" w:rsidRPr="00B62FE0">
        <w:rPr>
          <w:rFonts w:ascii="Arial" w:hAnsi="Arial" w:cs="Arial"/>
          <w:sz w:val="22"/>
          <w:szCs w:val="22"/>
          <w:lang w:val="en-CA"/>
        </w:rPr>
        <w:t>.</w:t>
      </w:r>
    </w:p>
    <w:p w:rsidR="00A637E8" w:rsidRPr="00B62FE0" w:rsidRDefault="00A637E8" w:rsidP="001F31EA">
      <w:pPr>
        <w:pStyle w:val="BodyText"/>
        <w:ind w:left="720" w:hanging="720"/>
        <w:rPr>
          <w:rFonts w:ascii="Arial" w:hAnsi="Arial" w:cs="Arial"/>
          <w:sz w:val="22"/>
          <w:szCs w:val="22"/>
          <w:lang w:val="en-CA"/>
        </w:rPr>
      </w:pPr>
    </w:p>
    <w:p w:rsidR="009C204E" w:rsidRPr="009C204E" w:rsidRDefault="000C5CFA" w:rsidP="009C204E">
      <w:pPr>
        <w:pStyle w:val="BodyText"/>
        <w:ind w:left="720" w:hanging="720"/>
        <w:rPr>
          <w:rFonts w:ascii="Arial" w:hAnsi="Arial" w:cs="Arial"/>
          <w:sz w:val="22"/>
          <w:szCs w:val="22"/>
          <w:lang w:val="en-CA"/>
        </w:rPr>
      </w:pPr>
      <w:r w:rsidRPr="00B62FE0">
        <w:rPr>
          <w:rFonts w:ascii="Arial" w:hAnsi="Arial" w:cs="Arial"/>
          <w:sz w:val="22"/>
          <w:szCs w:val="22"/>
          <w:lang w:val="en-CA"/>
        </w:rPr>
        <w:t>(g)</w:t>
      </w:r>
      <w:r w:rsidR="009D624D" w:rsidRPr="00B62FE0">
        <w:rPr>
          <w:rFonts w:ascii="Arial" w:hAnsi="Arial" w:cs="Arial"/>
          <w:sz w:val="22"/>
          <w:szCs w:val="22"/>
          <w:lang w:val="en-CA"/>
        </w:rPr>
        <w:tab/>
      </w:r>
      <w:r w:rsidR="009C204E" w:rsidRPr="009C204E">
        <w:rPr>
          <w:rFonts w:ascii="Arial" w:hAnsi="Arial" w:cs="Arial"/>
          <w:sz w:val="22"/>
          <w:szCs w:val="22"/>
        </w:rPr>
        <w:t>Inspections that occurred during the 2011 exploration program include:</w:t>
      </w:r>
    </w:p>
    <w:p w:rsidR="009C204E" w:rsidRPr="009C204E" w:rsidRDefault="009C204E" w:rsidP="009C204E">
      <w:pPr>
        <w:pStyle w:val="Paralist"/>
        <w:rPr>
          <w:sz w:val="22"/>
          <w:szCs w:val="22"/>
        </w:rPr>
      </w:pPr>
      <w:r w:rsidRPr="009C204E">
        <w:rPr>
          <w:sz w:val="22"/>
          <w:szCs w:val="22"/>
        </w:rPr>
        <w:t>July 6 - 8, AANDC geologist Matthew Senkow was on site to go over drilling and exploration programs, and review other pertinent parts of the project.</w:t>
      </w:r>
    </w:p>
    <w:p w:rsidR="009C204E" w:rsidRPr="009C204E" w:rsidRDefault="009C204E" w:rsidP="009C204E">
      <w:pPr>
        <w:pStyle w:val="Paralist"/>
        <w:rPr>
          <w:sz w:val="22"/>
          <w:szCs w:val="22"/>
        </w:rPr>
      </w:pPr>
      <w:r w:rsidRPr="009C204E">
        <w:rPr>
          <w:sz w:val="22"/>
          <w:szCs w:val="22"/>
        </w:rPr>
        <w:t xml:space="preserve">July 9, AANDC Water Resources inspection. Ian Rumboldt, Water Resources Officer, and a student completed an inspection of camp, permits and all paperwork. Overall the visits went well, with no concerns of note. </w:t>
      </w:r>
    </w:p>
    <w:p w:rsidR="009C204E" w:rsidRPr="009C204E" w:rsidRDefault="009C204E" w:rsidP="009C204E">
      <w:pPr>
        <w:pStyle w:val="Paralist"/>
        <w:numPr>
          <w:ilvl w:val="0"/>
          <w:numId w:val="0"/>
        </w:numPr>
        <w:ind w:left="1080"/>
        <w:rPr>
          <w:sz w:val="22"/>
          <w:szCs w:val="22"/>
        </w:rPr>
      </w:pPr>
    </w:p>
    <w:p w:rsidR="009C204E" w:rsidRPr="009C204E" w:rsidRDefault="009C204E" w:rsidP="009C204E">
      <w:pPr>
        <w:pStyle w:val="Paralist"/>
        <w:rPr>
          <w:sz w:val="22"/>
          <w:szCs w:val="22"/>
        </w:rPr>
      </w:pPr>
      <w:r w:rsidRPr="009C204E">
        <w:rPr>
          <w:sz w:val="22"/>
          <w:szCs w:val="22"/>
        </w:rPr>
        <w:t>July 20, KIA inspection. Stanley Anablak, Luigi Toretti and a student visited the Hackett project for the annual inspection. No serious concerns were noted during the visit to Hackett camp. Location of drill sites on land and general cleanup in the area of camp were identified and addressed prior to camp closure.  A verbal approval for the Quonset hut was given to camp management by Stanley during the visit.</w:t>
      </w:r>
    </w:p>
    <w:p w:rsidR="009C204E" w:rsidRDefault="009C204E" w:rsidP="009C204E">
      <w:pPr>
        <w:pStyle w:val="ListParagraph"/>
      </w:pPr>
    </w:p>
    <w:p w:rsidR="009C204E" w:rsidRPr="004D1479" w:rsidRDefault="009C204E" w:rsidP="009C204E">
      <w:pPr>
        <w:pStyle w:val="Paralist"/>
        <w:numPr>
          <w:ilvl w:val="0"/>
          <w:numId w:val="0"/>
        </w:numPr>
        <w:ind w:left="1080"/>
      </w:pPr>
    </w:p>
    <w:p w:rsidR="00C935E4" w:rsidRDefault="009C204E" w:rsidP="000E556E">
      <w:pPr>
        <w:pStyle w:val="BodyText"/>
        <w:ind w:left="720" w:hanging="720"/>
        <w:jc w:val="both"/>
        <w:rPr>
          <w:rFonts w:ascii="Arial" w:hAnsi="Arial" w:cs="Arial"/>
          <w:sz w:val="22"/>
          <w:szCs w:val="22"/>
          <w:lang w:val="en-CA"/>
        </w:rPr>
      </w:pPr>
      <w:r w:rsidRPr="00B62FE0">
        <w:rPr>
          <w:rFonts w:ascii="Arial" w:hAnsi="Arial" w:cs="Arial"/>
          <w:sz w:val="22"/>
          <w:szCs w:val="22"/>
          <w:lang w:val="en-CA"/>
        </w:rPr>
        <w:t xml:space="preserve"> </w:t>
      </w:r>
      <w:r w:rsidR="000C5CFA" w:rsidRPr="00947080">
        <w:rPr>
          <w:rFonts w:ascii="Arial" w:hAnsi="Arial" w:cs="Arial"/>
          <w:sz w:val="22"/>
          <w:szCs w:val="22"/>
          <w:lang w:val="en-CA"/>
        </w:rPr>
        <w:t>(h)</w:t>
      </w:r>
      <w:r w:rsidR="008B3DC8" w:rsidRPr="00947080">
        <w:rPr>
          <w:rFonts w:ascii="Arial" w:hAnsi="Arial" w:cs="Arial"/>
          <w:sz w:val="22"/>
          <w:szCs w:val="22"/>
          <w:lang w:val="en-CA"/>
        </w:rPr>
        <w:tab/>
      </w:r>
      <w:r w:rsidR="00947080" w:rsidRPr="00947080">
        <w:rPr>
          <w:rFonts w:ascii="Arial" w:hAnsi="Arial" w:cs="Arial"/>
          <w:sz w:val="22"/>
          <w:szCs w:val="22"/>
          <w:lang w:val="en-CA"/>
        </w:rPr>
        <w:t>No community members visited Hackett River Project in 2011</w:t>
      </w:r>
      <w:r w:rsidR="00C07016" w:rsidRPr="00B62FE0">
        <w:rPr>
          <w:rFonts w:ascii="Arial" w:hAnsi="Arial" w:cs="Arial"/>
          <w:sz w:val="22"/>
          <w:szCs w:val="22"/>
          <w:lang w:val="en-CA"/>
        </w:rPr>
        <w:t>.</w:t>
      </w:r>
    </w:p>
    <w:p w:rsidR="00947080" w:rsidRDefault="00947080" w:rsidP="000E556E">
      <w:pPr>
        <w:pStyle w:val="BodyText"/>
        <w:ind w:left="720" w:hanging="720"/>
        <w:jc w:val="both"/>
        <w:rPr>
          <w:rFonts w:ascii="Arial" w:hAnsi="Arial" w:cs="Arial"/>
          <w:sz w:val="22"/>
          <w:szCs w:val="22"/>
          <w:lang w:val="en-CA"/>
        </w:rPr>
      </w:pPr>
    </w:p>
    <w:p w:rsidR="00947080" w:rsidRPr="00B62FE0" w:rsidRDefault="00947080" w:rsidP="000E556E">
      <w:pPr>
        <w:pStyle w:val="BodyText"/>
        <w:ind w:left="720" w:hanging="720"/>
        <w:jc w:val="both"/>
        <w:rPr>
          <w:rFonts w:ascii="Arial" w:hAnsi="Arial" w:cs="Arial"/>
          <w:sz w:val="22"/>
          <w:szCs w:val="22"/>
          <w:lang w:val="en-CA"/>
        </w:rPr>
      </w:pPr>
    </w:p>
    <w:p w:rsidR="00617096" w:rsidRDefault="00617096" w:rsidP="009C204E">
      <w:pPr>
        <w:pStyle w:val="BodyText"/>
        <w:numPr>
          <w:ilvl w:val="0"/>
          <w:numId w:val="19"/>
        </w:numPr>
        <w:jc w:val="both"/>
        <w:rPr>
          <w:rFonts w:ascii="Arial" w:hAnsi="Arial" w:cs="Arial"/>
          <w:sz w:val="22"/>
          <w:szCs w:val="22"/>
          <w:lang w:val="en-CA"/>
        </w:rPr>
      </w:pPr>
      <w:r w:rsidRPr="00B62FE0">
        <w:rPr>
          <w:rFonts w:ascii="Arial" w:hAnsi="Arial" w:cs="Arial"/>
          <w:sz w:val="22"/>
          <w:szCs w:val="22"/>
          <w:lang w:val="en-CA"/>
        </w:rPr>
        <w:lastRenderedPageBreak/>
        <w:t>Site photos</w:t>
      </w:r>
      <w:r w:rsidR="00A467EC" w:rsidRPr="00B62FE0">
        <w:rPr>
          <w:rFonts w:ascii="Arial" w:hAnsi="Arial" w:cs="Arial"/>
          <w:sz w:val="22"/>
          <w:szCs w:val="22"/>
          <w:lang w:val="en-CA"/>
        </w:rPr>
        <w:t>.</w:t>
      </w:r>
    </w:p>
    <w:p w:rsidR="009C204E" w:rsidRPr="00B62FE0" w:rsidRDefault="009C204E" w:rsidP="009C204E">
      <w:pPr>
        <w:pStyle w:val="BodyText"/>
        <w:ind w:left="780"/>
        <w:jc w:val="both"/>
        <w:rPr>
          <w:rFonts w:ascii="Arial" w:hAnsi="Arial" w:cs="Arial"/>
          <w:sz w:val="22"/>
          <w:szCs w:val="22"/>
          <w:lang w:val="en-CA"/>
        </w:rPr>
      </w:pPr>
      <w:r w:rsidRPr="009C204E">
        <w:rPr>
          <w:rFonts w:ascii="Arial" w:hAnsi="Arial" w:cs="Arial"/>
          <w:noProof/>
          <w:sz w:val="22"/>
          <w:szCs w:val="22"/>
        </w:rPr>
        <w:drawing>
          <wp:inline distT="0" distB="0" distL="0" distR="0">
            <wp:extent cx="4988295" cy="3133400"/>
            <wp:effectExtent l="19050" t="0" r="2805" b="0"/>
            <wp:docPr id="5" name="Picture 6" descr="Hackett_071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kett_0710_4.JPG"/>
                    <pic:cNvPicPr/>
                  </pic:nvPicPr>
                  <pic:blipFill>
                    <a:blip r:embed="rId12" cstate="print"/>
                    <a:stretch>
                      <a:fillRect/>
                    </a:stretch>
                  </pic:blipFill>
                  <pic:spPr>
                    <a:xfrm>
                      <a:off x="0" y="0"/>
                      <a:ext cx="4988295" cy="3133400"/>
                    </a:xfrm>
                    <a:prstGeom prst="rect">
                      <a:avLst/>
                    </a:prstGeom>
                  </pic:spPr>
                </pic:pic>
              </a:graphicData>
            </a:graphic>
          </wp:inline>
        </w:drawing>
      </w:r>
    </w:p>
    <w:p w:rsidR="0000009B" w:rsidRPr="009C204E" w:rsidRDefault="009C204E" w:rsidP="0000009B">
      <w:pPr>
        <w:rPr>
          <w:rFonts w:ascii="Arial" w:hAnsi="Arial" w:cs="Arial"/>
          <w:i/>
          <w:sz w:val="22"/>
          <w:szCs w:val="22"/>
        </w:rPr>
      </w:pPr>
      <w:r>
        <w:rPr>
          <w:rFonts w:ascii="Arial" w:hAnsi="Arial" w:cs="Arial"/>
          <w:i/>
          <w:sz w:val="22"/>
          <w:szCs w:val="22"/>
        </w:rPr>
        <w:t>Figure 3</w:t>
      </w:r>
      <w:r w:rsidRPr="009C204E">
        <w:rPr>
          <w:rFonts w:ascii="Arial" w:hAnsi="Arial" w:cs="Arial"/>
          <w:i/>
          <w:sz w:val="22"/>
          <w:szCs w:val="22"/>
        </w:rPr>
        <w:t>. Aerial image of Hackett camp. Photograph taken July, 2011.</w:t>
      </w:r>
    </w:p>
    <w:p w:rsidR="00197CAC" w:rsidRPr="00B62FE0" w:rsidRDefault="00197CAC" w:rsidP="0022162B">
      <w:pPr>
        <w:ind w:left="990" w:hanging="990"/>
        <w:rPr>
          <w:rFonts w:ascii="Arial" w:hAnsi="Arial" w:cs="Arial"/>
          <w:i/>
          <w:sz w:val="20"/>
        </w:rPr>
      </w:pPr>
    </w:p>
    <w:p w:rsidR="00E01392" w:rsidRPr="00B62FE0" w:rsidRDefault="000C5CFA" w:rsidP="00E01392">
      <w:pPr>
        <w:pStyle w:val="BodyText"/>
        <w:ind w:left="720" w:hanging="720"/>
        <w:jc w:val="both"/>
        <w:rPr>
          <w:rFonts w:ascii="Arial" w:hAnsi="Arial" w:cs="Arial"/>
          <w:sz w:val="22"/>
          <w:szCs w:val="22"/>
          <w:lang w:val="en-CA"/>
        </w:rPr>
      </w:pPr>
      <w:r w:rsidRPr="00B62FE0">
        <w:rPr>
          <w:rFonts w:ascii="Arial" w:hAnsi="Arial" w:cs="Arial"/>
          <w:sz w:val="22"/>
          <w:szCs w:val="22"/>
          <w:lang w:val="en-CA"/>
        </w:rPr>
        <w:t>(j)</w:t>
      </w:r>
      <w:r w:rsidR="008B3DC8" w:rsidRPr="00B62FE0">
        <w:rPr>
          <w:rFonts w:ascii="Arial" w:hAnsi="Arial" w:cs="Arial"/>
          <w:sz w:val="22"/>
          <w:szCs w:val="22"/>
          <w:lang w:val="en-CA"/>
        </w:rPr>
        <w:tab/>
      </w:r>
      <w:r w:rsidR="00E01392" w:rsidRPr="00B62FE0">
        <w:rPr>
          <w:rFonts w:ascii="Arial" w:hAnsi="Arial" w:cs="Arial"/>
          <w:sz w:val="22"/>
          <w:szCs w:val="22"/>
          <w:lang w:val="en-CA"/>
        </w:rPr>
        <w:t>Personnel, equipment and supplies were mobilized to the property by fixed wing aircraft including De Havilland DHC-5, Buffalo, Dornier 228, Dash-7, Skyvan and Twin Otter on the ice strip in spring and float equipped Twin Otter aircraft on the lake in the summer. The ice strip on Camp Lake was operational from mid-February to early June. From June to July, the gravel air strip located approximately 7 km south of camp was utilized on occasion.</w:t>
      </w:r>
    </w:p>
    <w:p w:rsidR="00E01392" w:rsidRPr="00B62FE0" w:rsidRDefault="00E01392" w:rsidP="00E01392">
      <w:pPr>
        <w:pStyle w:val="BodyText"/>
        <w:ind w:left="720"/>
        <w:jc w:val="both"/>
        <w:rPr>
          <w:rFonts w:ascii="Arial" w:hAnsi="Arial" w:cs="Arial"/>
          <w:sz w:val="22"/>
          <w:szCs w:val="22"/>
          <w:lang w:val="en-CA"/>
        </w:rPr>
      </w:pPr>
      <w:r w:rsidRPr="00B62FE0">
        <w:rPr>
          <w:rFonts w:ascii="Arial" w:hAnsi="Arial" w:cs="Arial"/>
          <w:sz w:val="22"/>
          <w:szCs w:val="22"/>
          <w:lang w:val="en-CA"/>
        </w:rPr>
        <w:t xml:space="preserve">Regularly scheduled supply flights started landing on Camp Lake </w:t>
      </w:r>
      <w:r w:rsidR="00A637E8" w:rsidRPr="00A637E8">
        <w:rPr>
          <w:rFonts w:ascii="Arial" w:hAnsi="Arial" w:cs="Arial"/>
          <w:sz w:val="22"/>
          <w:szCs w:val="22"/>
          <w:lang w:val="en-CA"/>
        </w:rPr>
        <w:t>in early July</w:t>
      </w:r>
      <w:r w:rsidR="00C935E4" w:rsidRPr="00A637E8">
        <w:rPr>
          <w:rFonts w:ascii="Arial" w:hAnsi="Arial" w:cs="Arial"/>
          <w:sz w:val="22"/>
          <w:szCs w:val="22"/>
          <w:lang w:val="en-CA"/>
        </w:rPr>
        <w:t>;</w:t>
      </w:r>
      <w:r w:rsidR="00C935E4" w:rsidRPr="00B62FE0">
        <w:rPr>
          <w:rFonts w:ascii="Arial" w:hAnsi="Arial" w:cs="Arial"/>
          <w:sz w:val="22"/>
          <w:szCs w:val="22"/>
          <w:lang w:val="en-CA"/>
        </w:rPr>
        <w:t xml:space="preserve"> these are typically </w:t>
      </w:r>
      <w:r w:rsidR="00A637E8">
        <w:rPr>
          <w:rFonts w:ascii="Arial" w:hAnsi="Arial" w:cs="Arial"/>
          <w:sz w:val="22"/>
          <w:szCs w:val="22"/>
          <w:lang w:val="en-CA"/>
        </w:rPr>
        <w:t xml:space="preserve">two </w:t>
      </w:r>
      <w:r w:rsidR="00C64D37" w:rsidRPr="00B62FE0">
        <w:rPr>
          <w:rFonts w:ascii="Arial" w:hAnsi="Arial" w:cs="Arial"/>
          <w:sz w:val="22"/>
          <w:szCs w:val="22"/>
          <w:lang w:val="en-CA"/>
        </w:rPr>
        <w:t xml:space="preserve">planes </w:t>
      </w:r>
      <w:r w:rsidR="00C935E4" w:rsidRPr="00B62FE0">
        <w:rPr>
          <w:rFonts w:ascii="Arial" w:hAnsi="Arial" w:cs="Arial"/>
          <w:sz w:val="22"/>
          <w:szCs w:val="22"/>
          <w:lang w:val="en-CA"/>
        </w:rPr>
        <w:t>a week</w:t>
      </w:r>
      <w:r w:rsidR="00C64D37" w:rsidRPr="00B62FE0">
        <w:rPr>
          <w:rFonts w:ascii="Arial" w:hAnsi="Arial" w:cs="Arial"/>
          <w:sz w:val="22"/>
          <w:szCs w:val="22"/>
          <w:lang w:val="en-CA"/>
        </w:rPr>
        <w:t>,</w:t>
      </w:r>
      <w:r w:rsidR="00C935E4" w:rsidRPr="00B62FE0">
        <w:rPr>
          <w:rFonts w:ascii="Arial" w:hAnsi="Arial" w:cs="Arial"/>
          <w:sz w:val="22"/>
          <w:szCs w:val="22"/>
          <w:lang w:val="en-CA"/>
        </w:rPr>
        <w:t xml:space="preserve"> on Tuesday and Friday. </w:t>
      </w:r>
      <w:r w:rsidRPr="00B62FE0">
        <w:rPr>
          <w:rFonts w:ascii="Arial" w:hAnsi="Arial" w:cs="Arial"/>
          <w:sz w:val="22"/>
          <w:szCs w:val="22"/>
          <w:lang w:val="en-CA"/>
        </w:rPr>
        <w:t xml:space="preserve"> The final float plane of the season took of</w:t>
      </w:r>
      <w:r w:rsidR="009C204E">
        <w:rPr>
          <w:rFonts w:ascii="Arial" w:hAnsi="Arial" w:cs="Arial"/>
          <w:sz w:val="22"/>
          <w:szCs w:val="22"/>
          <w:lang w:val="en-CA"/>
        </w:rPr>
        <w:t>f from Camp Lake on October 2</w:t>
      </w:r>
      <w:r w:rsidRPr="00B62FE0">
        <w:rPr>
          <w:rFonts w:ascii="Arial" w:hAnsi="Arial" w:cs="Arial"/>
          <w:sz w:val="22"/>
          <w:szCs w:val="22"/>
          <w:lang w:val="en-CA"/>
        </w:rPr>
        <w:t>, at which point the camp was closed for the season</w:t>
      </w:r>
    </w:p>
    <w:p w:rsidR="00197CAC" w:rsidRPr="00B62FE0" w:rsidRDefault="007555DE" w:rsidP="00197CAC">
      <w:pPr>
        <w:pStyle w:val="BodyText"/>
        <w:ind w:left="720" w:hanging="720"/>
        <w:jc w:val="both"/>
        <w:rPr>
          <w:rFonts w:ascii="Arial" w:hAnsi="Arial" w:cs="Arial"/>
          <w:sz w:val="22"/>
          <w:szCs w:val="22"/>
          <w:lang w:val="en-CA"/>
        </w:rPr>
      </w:pPr>
      <w:r w:rsidRPr="00B62FE0">
        <w:rPr>
          <w:rFonts w:ascii="Arial" w:hAnsi="Arial" w:cs="Arial"/>
          <w:sz w:val="22"/>
          <w:szCs w:val="22"/>
          <w:lang w:val="en-CA"/>
        </w:rPr>
        <w:t>(</w:t>
      </w:r>
      <w:r w:rsidR="00617096" w:rsidRPr="00B62FE0">
        <w:rPr>
          <w:rFonts w:ascii="Arial" w:hAnsi="Arial" w:cs="Arial"/>
          <w:sz w:val="22"/>
          <w:szCs w:val="22"/>
          <w:lang w:val="en-CA"/>
        </w:rPr>
        <w:t>k)</w:t>
      </w:r>
      <w:r w:rsidR="00617096" w:rsidRPr="00B62FE0">
        <w:rPr>
          <w:rFonts w:ascii="Arial" w:hAnsi="Arial" w:cs="Arial"/>
          <w:sz w:val="22"/>
          <w:szCs w:val="22"/>
          <w:lang w:val="en-CA"/>
        </w:rPr>
        <w:tab/>
      </w:r>
      <w:r w:rsidR="00197CAC" w:rsidRPr="00B62FE0">
        <w:rPr>
          <w:rFonts w:ascii="Arial" w:hAnsi="Arial" w:cs="Arial"/>
          <w:sz w:val="22"/>
          <w:szCs w:val="22"/>
          <w:lang w:val="en-CA"/>
        </w:rPr>
        <w:t>A Bell 407 was used throughout the course of the 20</w:t>
      </w:r>
      <w:r w:rsidR="009C204E">
        <w:rPr>
          <w:rFonts w:ascii="Arial" w:hAnsi="Arial" w:cs="Arial"/>
          <w:sz w:val="22"/>
          <w:szCs w:val="22"/>
          <w:lang w:val="en-CA"/>
        </w:rPr>
        <w:t>11</w:t>
      </w:r>
      <w:r w:rsidR="00197CAC" w:rsidRPr="00B62FE0">
        <w:rPr>
          <w:rFonts w:ascii="Arial" w:hAnsi="Arial" w:cs="Arial"/>
          <w:sz w:val="22"/>
          <w:szCs w:val="22"/>
          <w:lang w:val="en-CA"/>
        </w:rPr>
        <w:t xml:space="preserve"> exploration program</w:t>
      </w:r>
      <w:r w:rsidR="004911B8" w:rsidRPr="00B62FE0">
        <w:rPr>
          <w:rFonts w:ascii="Arial" w:hAnsi="Arial" w:cs="Arial"/>
          <w:sz w:val="22"/>
          <w:szCs w:val="22"/>
          <w:lang w:val="en-CA"/>
        </w:rPr>
        <w:t>, and was supplemented with the use of a Bell 206L (Long Ranger)</w:t>
      </w:r>
      <w:r w:rsidR="00197CAC" w:rsidRPr="00B62FE0">
        <w:rPr>
          <w:rFonts w:ascii="Arial" w:hAnsi="Arial" w:cs="Arial"/>
          <w:sz w:val="22"/>
          <w:szCs w:val="22"/>
          <w:lang w:val="en-CA"/>
        </w:rPr>
        <w:t xml:space="preserve">. Records were not kept of every individual touchdown, however it would be reasonable to estimate an overall average of 3-4 landings per day including drill crew shift changes, drill support, as well as geological, </w:t>
      </w:r>
      <w:r w:rsidR="004911B8" w:rsidRPr="00B62FE0">
        <w:rPr>
          <w:rFonts w:ascii="Arial" w:hAnsi="Arial" w:cs="Arial"/>
          <w:sz w:val="22"/>
          <w:szCs w:val="22"/>
          <w:lang w:val="en-CA"/>
        </w:rPr>
        <w:t xml:space="preserve">geophysical, </w:t>
      </w:r>
      <w:r w:rsidR="00197CAC" w:rsidRPr="00B62FE0">
        <w:rPr>
          <w:rFonts w:ascii="Arial" w:hAnsi="Arial" w:cs="Arial"/>
          <w:sz w:val="22"/>
          <w:szCs w:val="22"/>
          <w:lang w:val="en-CA"/>
        </w:rPr>
        <w:t xml:space="preserve">survey and </w:t>
      </w:r>
      <w:r w:rsidR="004911B8" w:rsidRPr="00B62FE0">
        <w:rPr>
          <w:rFonts w:ascii="Arial" w:hAnsi="Arial" w:cs="Arial"/>
          <w:sz w:val="22"/>
          <w:szCs w:val="22"/>
          <w:lang w:val="en-CA"/>
        </w:rPr>
        <w:t xml:space="preserve">environmental </w:t>
      </w:r>
      <w:r w:rsidR="00197CAC" w:rsidRPr="00B62FE0">
        <w:rPr>
          <w:rFonts w:ascii="Arial" w:hAnsi="Arial" w:cs="Arial"/>
          <w:sz w:val="22"/>
          <w:szCs w:val="22"/>
          <w:lang w:val="en-CA"/>
        </w:rPr>
        <w:t xml:space="preserve">crews. This estimate would result in a total of </w:t>
      </w:r>
      <w:r w:rsidR="004911B8" w:rsidRPr="00B62FE0">
        <w:rPr>
          <w:rFonts w:ascii="Arial" w:hAnsi="Arial" w:cs="Arial"/>
          <w:sz w:val="22"/>
          <w:szCs w:val="22"/>
          <w:lang w:val="en-CA"/>
        </w:rPr>
        <w:t>670</w:t>
      </w:r>
      <w:r w:rsidR="00197CAC" w:rsidRPr="00B62FE0">
        <w:rPr>
          <w:rFonts w:ascii="Arial" w:hAnsi="Arial" w:cs="Arial"/>
          <w:sz w:val="22"/>
          <w:szCs w:val="22"/>
          <w:lang w:val="en-CA"/>
        </w:rPr>
        <w:t>-</w:t>
      </w:r>
      <w:r w:rsidR="004911B8" w:rsidRPr="00B62FE0">
        <w:rPr>
          <w:rFonts w:ascii="Arial" w:hAnsi="Arial" w:cs="Arial"/>
          <w:sz w:val="22"/>
          <w:szCs w:val="22"/>
          <w:lang w:val="en-CA"/>
        </w:rPr>
        <w:t>900</w:t>
      </w:r>
      <w:r w:rsidR="00197CAC" w:rsidRPr="00B62FE0">
        <w:rPr>
          <w:rFonts w:ascii="Arial" w:hAnsi="Arial" w:cs="Arial"/>
          <w:sz w:val="22"/>
          <w:szCs w:val="22"/>
          <w:lang w:val="en-CA"/>
        </w:rPr>
        <w:t xml:space="preserve"> landings. </w:t>
      </w:r>
    </w:p>
    <w:p w:rsidR="00617096" w:rsidRDefault="00197CAC" w:rsidP="00197CAC">
      <w:pPr>
        <w:pStyle w:val="BodyText"/>
        <w:ind w:left="720"/>
        <w:jc w:val="both"/>
        <w:rPr>
          <w:rFonts w:ascii="Arial" w:hAnsi="Arial" w:cs="Arial"/>
          <w:sz w:val="22"/>
          <w:szCs w:val="22"/>
          <w:lang w:val="en-CA"/>
        </w:rPr>
      </w:pPr>
      <w:r w:rsidRPr="00B62FE0">
        <w:rPr>
          <w:rFonts w:ascii="Arial" w:hAnsi="Arial" w:cs="Arial"/>
          <w:sz w:val="22"/>
          <w:szCs w:val="22"/>
          <w:lang w:val="en-CA"/>
        </w:rPr>
        <w:t>The main flight routes would be between the camp at Hackett River and the drilling areas indicated in Figure</w:t>
      </w:r>
      <w:r w:rsidR="004911B8" w:rsidRPr="00B62FE0">
        <w:rPr>
          <w:rFonts w:ascii="Arial" w:hAnsi="Arial" w:cs="Arial"/>
          <w:sz w:val="22"/>
          <w:szCs w:val="22"/>
          <w:lang w:val="en-CA"/>
        </w:rPr>
        <w:t>s</w:t>
      </w:r>
      <w:r w:rsidRPr="00B62FE0">
        <w:rPr>
          <w:rFonts w:ascii="Arial" w:hAnsi="Arial" w:cs="Arial"/>
          <w:sz w:val="22"/>
          <w:szCs w:val="22"/>
          <w:lang w:val="en-CA"/>
        </w:rPr>
        <w:t xml:space="preserve"> 2</w:t>
      </w:r>
      <w:r w:rsidR="004911B8" w:rsidRPr="00B62FE0">
        <w:rPr>
          <w:rFonts w:ascii="Arial" w:hAnsi="Arial" w:cs="Arial"/>
          <w:sz w:val="22"/>
          <w:szCs w:val="22"/>
          <w:lang w:val="en-CA"/>
        </w:rPr>
        <w:t xml:space="preserve"> and 3</w:t>
      </w:r>
      <w:r w:rsidRPr="00B62FE0">
        <w:rPr>
          <w:rFonts w:ascii="Arial" w:hAnsi="Arial" w:cs="Arial"/>
          <w:sz w:val="22"/>
          <w:szCs w:val="22"/>
          <w:lang w:val="en-CA"/>
        </w:rPr>
        <w:t>, as well as the mapping and sampling locations at Wishbone. Most landings would only be brief touchdowns to allow passengers to enter or exit the helicopter, without the machine actually shutting down.</w:t>
      </w:r>
    </w:p>
    <w:p w:rsidR="00947080" w:rsidRPr="00B62FE0" w:rsidRDefault="00947080" w:rsidP="00197CAC">
      <w:pPr>
        <w:pStyle w:val="BodyText"/>
        <w:ind w:left="720"/>
        <w:jc w:val="both"/>
        <w:rPr>
          <w:rFonts w:ascii="Arial" w:hAnsi="Arial" w:cs="Arial"/>
          <w:sz w:val="22"/>
          <w:szCs w:val="22"/>
          <w:lang w:val="en-CA"/>
        </w:rPr>
      </w:pPr>
    </w:p>
    <w:p w:rsidR="00617096" w:rsidRDefault="00617096" w:rsidP="000E556E">
      <w:pPr>
        <w:pStyle w:val="BodyText"/>
        <w:ind w:left="720" w:hanging="720"/>
        <w:jc w:val="both"/>
        <w:rPr>
          <w:rFonts w:ascii="Arial" w:hAnsi="Arial" w:cs="Arial"/>
          <w:sz w:val="22"/>
          <w:szCs w:val="22"/>
          <w:lang w:val="en-CA"/>
        </w:rPr>
      </w:pPr>
      <w:r w:rsidRPr="00B62FE0">
        <w:rPr>
          <w:rFonts w:ascii="Arial" w:hAnsi="Arial" w:cs="Arial"/>
          <w:sz w:val="22"/>
          <w:szCs w:val="22"/>
          <w:lang w:val="en-CA"/>
        </w:rPr>
        <w:t>(l)</w:t>
      </w:r>
      <w:r w:rsidRPr="00B62FE0">
        <w:rPr>
          <w:rFonts w:ascii="Arial" w:hAnsi="Arial" w:cs="Arial"/>
          <w:sz w:val="22"/>
          <w:szCs w:val="22"/>
          <w:lang w:val="en-CA"/>
        </w:rPr>
        <w:tab/>
      </w:r>
      <w:r w:rsidR="00EE7295" w:rsidRPr="00B62FE0">
        <w:rPr>
          <w:rFonts w:ascii="Arial" w:hAnsi="Arial" w:cs="Arial"/>
          <w:sz w:val="22"/>
          <w:szCs w:val="22"/>
          <w:lang w:val="en-CA"/>
        </w:rPr>
        <w:t>See Item (d</w:t>
      </w:r>
      <w:r w:rsidRPr="00B62FE0">
        <w:rPr>
          <w:rFonts w:ascii="Arial" w:hAnsi="Arial" w:cs="Arial"/>
          <w:sz w:val="22"/>
          <w:szCs w:val="22"/>
          <w:lang w:val="en-CA"/>
        </w:rPr>
        <w:t>)</w:t>
      </w:r>
      <w:r w:rsidR="00EE7295" w:rsidRPr="00B62FE0">
        <w:rPr>
          <w:rFonts w:ascii="Arial" w:hAnsi="Arial" w:cs="Arial"/>
          <w:sz w:val="22"/>
          <w:szCs w:val="22"/>
          <w:lang w:val="en-CA"/>
        </w:rPr>
        <w:t xml:space="preserve"> above</w:t>
      </w:r>
      <w:r w:rsidRPr="00B62FE0">
        <w:rPr>
          <w:rFonts w:ascii="Arial" w:hAnsi="Arial" w:cs="Arial"/>
          <w:sz w:val="22"/>
          <w:szCs w:val="22"/>
          <w:lang w:val="en-CA"/>
        </w:rPr>
        <w:t>.</w:t>
      </w:r>
    </w:p>
    <w:p w:rsidR="00947080" w:rsidRDefault="00947080" w:rsidP="000E556E">
      <w:pPr>
        <w:pStyle w:val="BodyText"/>
        <w:ind w:left="720" w:hanging="720"/>
        <w:jc w:val="both"/>
        <w:rPr>
          <w:rFonts w:ascii="Arial" w:hAnsi="Arial" w:cs="Arial"/>
          <w:sz w:val="22"/>
          <w:szCs w:val="22"/>
          <w:lang w:val="en-CA"/>
        </w:rPr>
      </w:pPr>
    </w:p>
    <w:p w:rsidR="00947080" w:rsidRPr="00B62FE0" w:rsidRDefault="00947080" w:rsidP="000E556E">
      <w:pPr>
        <w:pStyle w:val="BodyText"/>
        <w:ind w:left="720" w:hanging="720"/>
        <w:jc w:val="both"/>
        <w:rPr>
          <w:rFonts w:ascii="Arial" w:hAnsi="Arial" w:cs="Arial"/>
          <w:sz w:val="22"/>
          <w:szCs w:val="22"/>
          <w:lang w:val="en-CA"/>
        </w:rPr>
      </w:pPr>
    </w:p>
    <w:p w:rsidR="00947080" w:rsidRDefault="00947080" w:rsidP="009C204E">
      <w:pPr>
        <w:pStyle w:val="Parabody"/>
        <w:ind w:left="0"/>
      </w:pPr>
      <w:r>
        <w:lastRenderedPageBreak/>
        <w:t>(m)</w:t>
      </w:r>
    </w:p>
    <w:p w:rsidR="009C204E" w:rsidRPr="004D1479" w:rsidRDefault="00B62FE0" w:rsidP="00947080">
      <w:pPr>
        <w:pStyle w:val="Parabody"/>
      </w:pPr>
      <w:r w:rsidRPr="00B62FE0">
        <w:t>Progressive reclamation</w:t>
      </w:r>
      <w:r w:rsidR="00446849" w:rsidRPr="00B62FE0">
        <w:t xml:space="preserve"> activities in 20</w:t>
      </w:r>
      <w:r w:rsidR="00E01392" w:rsidRPr="00B62FE0">
        <w:t>1</w:t>
      </w:r>
      <w:r w:rsidR="009C204E">
        <w:t>1</w:t>
      </w:r>
      <w:r w:rsidR="00446849" w:rsidRPr="00B62FE0">
        <w:t xml:space="preserve"> focussed on reclamation of the drill sites</w:t>
      </w:r>
      <w:r w:rsidR="00BA4A68" w:rsidRPr="00B62FE0">
        <w:t xml:space="preserve">. </w:t>
      </w:r>
      <w:r w:rsidR="009C204E" w:rsidRPr="004D1479">
        <w:t>Ongoing efforts were made to reclaim drill sites at the completion of each hole/setup. Several old, steel, fuel drums were located down near Noranda’s old Musk Camp, and were flown out to Yellowknife for disposal.  No other progressive reclamation activities were undertaken in 2011.</w:t>
      </w:r>
    </w:p>
    <w:p w:rsidR="00BA4A68" w:rsidRPr="00B62FE0" w:rsidRDefault="00BA4A68" w:rsidP="00446849">
      <w:pPr>
        <w:pStyle w:val="BodyText"/>
        <w:ind w:left="720" w:hanging="720"/>
        <w:jc w:val="both"/>
        <w:rPr>
          <w:rFonts w:ascii="Arial" w:hAnsi="Arial" w:cs="Arial"/>
          <w:sz w:val="22"/>
          <w:szCs w:val="22"/>
          <w:lang w:val="en-CA"/>
        </w:rPr>
      </w:pPr>
    </w:p>
    <w:p w:rsidR="00786A28" w:rsidRPr="00B62FE0" w:rsidRDefault="00617096" w:rsidP="009A6127">
      <w:pPr>
        <w:pStyle w:val="BodyText"/>
        <w:ind w:left="720" w:hanging="720"/>
        <w:jc w:val="both"/>
        <w:rPr>
          <w:rFonts w:ascii="Arial" w:hAnsi="Arial" w:cs="Arial"/>
          <w:sz w:val="22"/>
          <w:szCs w:val="22"/>
          <w:lang w:val="en-CA"/>
        </w:rPr>
      </w:pPr>
      <w:r w:rsidRPr="00B62FE0">
        <w:rPr>
          <w:rFonts w:ascii="Arial" w:hAnsi="Arial" w:cs="Arial"/>
          <w:sz w:val="22"/>
          <w:szCs w:val="22"/>
          <w:lang w:val="en-CA"/>
        </w:rPr>
        <w:t>(n)</w:t>
      </w:r>
      <w:r w:rsidRPr="00B62FE0">
        <w:rPr>
          <w:rFonts w:ascii="Arial" w:hAnsi="Arial" w:cs="Arial"/>
          <w:sz w:val="22"/>
          <w:szCs w:val="22"/>
          <w:lang w:val="en-CA"/>
        </w:rPr>
        <w:tab/>
      </w:r>
      <w:r w:rsidR="00446849" w:rsidRPr="00B62FE0">
        <w:rPr>
          <w:rFonts w:ascii="Arial" w:hAnsi="Arial" w:cs="Arial"/>
          <w:sz w:val="22"/>
          <w:szCs w:val="22"/>
          <w:lang w:val="en-CA"/>
        </w:rPr>
        <w:t>Sabina</w:t>
      </w:r>
      <w:r w:rsidR="00EE7295" w:rsidRPr="00B62FE0">
        <w:rPr>
          <w:rFonts w:ascii="Arial" w:hAnsi="Arial" w:cs="Arial"/>
          <w:sz w:val="22"/>
          <w:szCs w:val="22"/>
          <w:lang w:val="en-CA"/>
        </w:rPr>
        <w:t xml:space="preserve"> has, to the best of our knowledge, conducted this operation in full compliance with the terms and conditions annexed to the permits</w:t>
      </w:r>
      <w:r w:rsidR="00A3730B" w:rsidRPr="00B62FE0">
        <w:rPr>
          <w:rFonts w:ascii="Arial" w:hAnsi="Arial" w:cs="Arial"/>
          <w:sz w:val="22"/>
          <w:szCs w:val="22"/>
          <w:lang w:val="en-CA"/>
        </w:rPr>
        <w:t>, and we are actively working with inspectors and regulators to address any issues or concerns which arise and to improve</w:t>
      </w:r>
      <w:r w:rsidR="00681977" w:rsidRPr="00B62FE0">
        <w:rPr>
          <w:rFonts w:ascii="Arial" w:hAnsi="Arial" w:cs="Arial"/>
          <w:sz w:val="22"/>
          <w:szCs w:val="22"/>
          <w:lang w:val="en-CA"/>
        </w:rPr>
        <w:t xml:space="preserve"> the way </w:t>
      </w:r>
      <w:r w:rsidR="00786A28" w:rsidRPr="00B62FE0">
        <w:rPr>
          <w:rFonts w:ascii="Arial" w:hAnsi="Arial" w:cs="Arial"/>
          <w:sz w:val="22"/>
          <w:szCs w:val="22"/>
          <w:lang w:val="en-CA"/>
        </w:rPr>
        <w:t xml:space="preserve">in which </w:t>
      </w:r>
      <w:r w:rsidR="00681977" w:rsidRPr="00B62FE0">
        <w:rPr>
          <w:rFonts w:ascii="Arial" w:hAnsi="Arial" w:cs="Arial"/>
          <w:sz w:val="22"/>
          <w:szCs w:val="22"/>
          <w:lang w:val="en-CA"/>
        </w:rPr>
        <w:t>we operate. We strive to maintain a high standard of performance</w:t>
      </w:r>
      <w:r w:rsidR="00786A28" w:rsidRPr="00B62FE0">
        <w:rPr>
          <w:rFonts w:ascii="Arial" w:hAnsi="Arial" w:cs="Arial"/>
          <w:sz w:val="22"/>
          <w:szCs w:val="22"/>
          <w:lang w:val="en-CA"/>
        </w:rPr>
        <w:t xml:space="preserve"> in the course of all of our operations.</w:t>
      </w:r>
    </w:p>
    <w:sectPr w:rsidR="00786A28" w:rsidRPr="00B62FE0" w:rsidSect="009643B1">
      <w:headerReference w:type="default" r:id="rId13"/>
      <w:footerReference w:type="default" r:id="rId14"/>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59" w:rsidRDefault="00915959">
      <w:r>
        <w:separator/>
      </w:r>
    </w:p>
  </w:endnote>
  <w:endnote w:type="continuationSeparator" w:id="0">
    <w:p w:rsidR="00915959" w:rsidRDefault="0091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AC" w:rsidRDefault="00197CAC">
    <w:pPr>
      <w:pStyle w:val="Footer"/>
      <w:jc w:val="center"/>
    </w:pPr>
    <w:r>
      <w:t xml:space="preserve">Page </w:t>
    </w:r>
    <w:r w:rsidR="006D52EA">
      <w:rPr>
        <w:b/>
        <w:szCs w:val="24"/>
      </w:rPr>
      <w:fldChar w:fldCharType="begin"/>
    </w:r>
    <w:r>
      <w:rPr>
        <w:b/>
      </w:rPr>
      <w:instrText xml:space="preserve"> PAGE </w:instrText>
    </w:r>
    <w:r w:rsidR="006D52EA">
      <w:rPr>
        <w:b/>
        <w:szCs w:val="24"/>
      </w:rPr>
      <w:fldChar w:fldCharType="separate"/>
    </w:r>
    <w:r w:rsidR="000026CE">
      <w:rPr>
        <w:b/>
        <w:noProof/>
      </w:rPr>
      <w:t>3</w:t>
    </w:r>
    <w:r w:rsidR="006D52EA">
      <w:rPr>
        <w:b/>
        <w:szCs w:val="24"/>
      </w:rPr>
      <w:fldChar w:fldCharType="end"/>
    </w:r>
    <w:r>
      <w:t xml:space="preserve"> of </w:t>
    </w:r>
    <w:r w:rsidR="006D52EA">
      <w:rPr>
        <w:b/>
        <w:szCs w:val="24"/>
      </w:rPr>
      <w:fldChar w:fldCharType="begin"/>
    </w:r>
    <w:r>
      <w:rPr>
        <w:b/>
      </w:rPr>
      <w:instrText xml:space="preserve"> NUMPAGES  </w:instrText>
    </w:r>
    <w:r w:rsidR="006D52EA">
      <w:rPr>
        <w:b/>
        <w:szCs w:val="24"/>
      </w:rPr>
      <w:fldChar w:fldCharType="separate"/>
    </w:r>
    <w:r w:rsidR="009F3607">
      <w:rPr>
        <w:b/>
        <w:noProof/>
      </w:rPr>
      <w:t>7</w:t>
    </w:r>
    <w:r w:rsidR="006D52EA">
      <w:rPr>
        <w:b/>
        <w:szCs w:val="24"/>
      </w:rPr>
      <w:fldChar w:fldCharType="end"/>
    </w:r>
  </w:p>
  <w:p w:rsidR="00197CAC" w:rsidRDefault="00197CAC" w:rsidP="009643B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AC" w:rsidRPr="00BD58FA" w:rsidRDefault="00197CAC" w:rsidP="00BD58FA">
    <w:pPr>
      <w:pStyle w:val="Footer"/>
      <w:pBdr>
        <w:top w:val="single" w:sz="4" w:space="1" w:color="auto"/>
      </w:pBdr>
      <w:jc w:val="center"/>
      <w:rPr>
        <w:sz w:val="20"/>
      </w:rPr>
    </w:pPr>
    <w:r>
      <w:rPr>
        <w:sz w:val="20"/>
      </w:rPr>
      <w:t xml:space="preserve">• </w:t>
    </w:r>
    <w:r w:rsidR="006D52EA" w:rsidRPr="00BD58FA">
      <w:rPr>
        <w:sz w:val="20"/>
      </w:rPr>
      <w:fldChar w:fldCharType="begin"/>
    </w:r>
    <w:r w:rsidRPr="00BD58FA">
      <w:rPr>
        <w:sz w:val="20"/>
      </w:rPr>
      <w:instrText xml:space="preserve"> PAGE </w:instrText>
    </w:r>
    <w:r w:rsidR="006D52EA" w:rsidRPr="00BD58FA">
      <w:rPr>
        <w:sz w:val="20"/>
      </w:rPr>
      <w:fldChar w:fldCharType="separate"/>
    </w:r>
    <w:r w:rsidR="009F3607">
      <w:rPr>
        <w:noProof/>
        <w:sz w:val="20"/>
      </w:rPr>
      <w:t>6</w:t>
    </w:r>
    <w:r w:rsidR="006D52EA" w:rsidRPr="00BD58FA">
      <w:rPr>
        <w:sz w:val="20"/>
      </w:rPr>
      <w:fldChar w:fldCharType="end"/>
    </w:r>
    <w:r w:rsidRPr="00BD58FA">
      <w:rPr>
        <w:sz w:val="20"/>
      </w:rPr>
      <w:t xml:space="preserve"> of </w:t>
    </w:r>
    <w:r w:rsidR="006D52EA">
      <w:rPr>
        <w:sz w:val="20"/>
      </w:rPr>
      <w:fldChar w:fldCharType="begin"/>
    </w:r>
    <w:r>
      <w:rPr>
        <w:sz w:val="20"/>
      </w:rPr>
      <w:instrText xml:space="preserve"> SECTIONPAGES  </w:instrText>
    </w:r>
    <w:r w:rsidR="006D52EA">
      <w:rPr>
        <w:sz w:val="20"/>
      </w:rPr>
      <w:fldChar w:fldCharType="separate"/>
    </w:r>
    <w:r w:rsidR="009F3607">
      <w:rPr>
        <w:noProof/>
        <w:sz w:val="20"/>
      </w:rPr>
      <w:t>6</w:t>
    </w:r>
    <w:r w:rsidR="006D52EA">
      <w:rPr>
        <w:sz w:val="20"/>
      </w:rPr>
      <w:fldChar w:fldCharType="end"/>
    </w:r>
    <w:r>
      <w:rPr>
        <w:sz w:val="20"/>
      </w:rPr>
      <w:t xml:space="preserve"> •</w:t>
    </w:r>
  </w:p>
  <w:p w:rsidR="00197CAC" w:rsidRDefault="00197CAC" w:rsidP="009643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59" w:rsidRDefault="00915959">
      <w:r>
        <w:separator/>
      </w:r>
    </w:p>
  </w:footnote>
  <w:footnote w:type="continuationSeparator" w:id="0">
    <w:p w:rsidR="00915959" w:rsidRDefault="0091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AC" w:rsidRPr="00267425" w:rsidRDefault="00197CAC" w:rsidP="009643B1">
    <w:pPr>
      <w:pStyle w:val="Header"/>
      <w:rPr>
        <w:b/>
        <w:i/>
        <w:sz w:val="20"/>
      </w:rPr>
    </w:pPr>
    <w:r w:rsidRPr="00267425">
      <w:rPr>
        <w:b/>
        <w:i/>
        <w:sz w:val="20"/>
      </w:rPr>
      <w:t>Dundee Precious Metals</w:t>
    </w:r>
  </w:p>
  <w:p w:rsidR="00197CAC" w:rsidRPr="00267425" w:rsidRDefault="00197CAC" w:rsidP="009643B1">
    <w:pPr>
      <w:pStyle w:val="Header"/>
      <w:pBdr>
        <w:bottom w:val="single" w:sz="4" w:space="1" w:color="auto"/>
      </w:pBdr>
      <w:tabs>
        <w:tab w:val="clear" w:pos="8640"/>
        <w:tab w:val="right" w:pos="9360"/>
      </w:tabs>
      <w:rPr>
        <w:sz w:val="20"/>
      </w:rPr>
    </w:pPr>
    <w:smartTag w:uri="urn:schemas-microsoft-com:office:smarttags" w:element="place">
      <w:r w:rsidRPr="007076C4">
        <w:rPr>
          <w:sz w:val="22"/>
          <w:szCs w:val="22"/>
        </w:rPr>
        <w:t>Back River</w:t>
      </w:r>
    </w:smartTag>
    <w:r w:rsidRPr="007076C4">
      <w:rPr>
        <w:sz w:val="22"/>
        <w:szCs w:val="22"/>
      </w:rPr>
      <w:t xml:space="preserve"> Project </w:t>
    </w:r>
    <w:r>
      <w:rPr>
        <w:sz w:val="22"/>
        <w:szCs w:val="22"/>
      </w:rPr>
      <w:t xml:space="preserve">Annual Report </w:t>
    </w:r>
    <w:r w:rsidRPr="00267425">
      <w:rPr>
        <w:sz w:val="20"/>
      </w:rPr>
      <w:t>N2006C0008</w:t>
    </w:r>
    <w:r>
      <w:rPr>
        <w:sz w:val="20"/>
      </w:rPr>
      <w:tab/>
    </w:r>
    <w:r>
      <w:rPr>
        <w:sz w:val="20"/>
      </w:rPr>
      <w:tab/>
    </w:r>
    <w:r w:rsidRPr="00267425">
      <w:rPr>
        <w:sz w:val="20"/>
      </w:rPr>
      <w:t>200</w:t>
    </w:r>
    <w:r>
      <w:rPr>
        <w:sz w:val="20"/>
      </w:rPr>
      <w:t>8</w:t>
    </w:r>
    <w:r w:rsidRPr="00267425">
      <w:rPr>
        <w:sz w:val="20"/>
      </w:rPr>
      <w:t xml:space="preserve"> Annual Report</w:t>
    </w:r>
  </w:p>
  <w:p w:rsidR="00197CAC" w:rsidRDefault="00197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CAC" w:rsidRPr="00B62FE0" w:rsidRDefault="00197CAC" w:rsidP="009643B1">
    <w:pPr>
      <w:pStyle w:val="Header"/>
      <w:rPr>
        <w:rFonts w:ascii="Arial" w:hAnsi="Arial" w:cs="Arial"/>
        <w:b/>
        <w:i/>
        <w:sz w:val="20"/>
      </w:rPr>
    </w:pPr>
    <w:r w:rsidRPr="00B62FE0">
      <w:rPr>
        <w:rFonts w:ascii="Arial" w:hAnsi="Arial" w:cs="Arial"/>
        <w:b/>
        <w:i/>
        <w:sz w:val="20"/>
      </w:rPr>
      <w:t>Sabina Gold &amp; Silver Corp.</w:t>
    </w:r>
  </w:p>
  <w:p w:rsidR="00197CAC" w:rsidRPr="00B62FE0" w:rsidRDefault="00197CAC" w:rsidP="009643B1">
    <w:pPr>
      <w:pStyle w:val="Header"/>
      <w:pBdr>
        <w:bottom w:val="single" w:sz="4" w:space="1" w:color="auto"/>
      </w:pBdr>
      <w:tabs>
        <w:tab w:val="clear" w:pos="8640"/>
        <w:tab w:val="right" w:pos="9360"/>
      </w:tabs>
      <w:rPr>
        <w:rFonts w:ascii="Arial" w:hAnsi="Arial" w:cs="Arial"/>
        <w:sz w:val="20"/>
      </w:rPr>
    </w:pPr>
    <w:r w:rsidRPr="00B62FE0">
      <w:rPr>
        <w:rFonts w:ascii="Arial" w:hAnsi="Arial" w:cs="Arial"/>
        <w:sz w:val="22"/>
        <w:szCs w:val="22"/>
      </w:rPr>
      <w:t xml:space="preserve">Hackett River Project Annual Report </w:t>
    </w:r>
    <w:r w:rsidR="00B71A02">
      <w:rPr>
        <w:rFonts w:ascii="Arial" w:hAnsi="Arial" w:cs="Arial"/>
        <w:sz w:val="20"/>
      </w:rPr>
      <w:t>N2010C0015</w:t>
    </w:r>
    <w:r w:rsidRPr="00B62FE0">
      <w:rPr>
        <w:rFonts w:ascii="Arial" w:hAnsi="Arial" w:cs="Arial"/>
        <w:sz w:val="20"/>
      </w:rPr>
      <w:tab/>
    </w:r>
    <w:r w:rsidR="00E83B02" w:rsidRPr="00B62FE0">
      <w:rPr>
        <w:rFonts w:ascii="Arial" w:hAnsi="Arial" w:cs="Arial"/>
        <w:sz w:val="20"/>
      </w:rPr>
      <w:t>20</w:t>
    </w:r>
    <w:r w:rsidR="00B71A02">
      <w:rPr>
        <w:rFonts w:ascii="Arial" w:hAnsi="Arial" w:cs="Arial"/>
        <w:sz w:val="20"/>
      </w:rPr>
      <w:t>11</w:t>
    </w:r>
    <w:r w:rsidRPr="00B62FE0">
      <w:rPr>
        <w:rFonts w:ascii="Arial" w:hAnsi="Arial" w:cs="Arial"/>
        <w:sz w:val="20"/>
      </w:rPr>
      <w:t xml:space="preserve"> Annual Report</w:t>
    </w:r>
  </w:p>
  <w:p w:rsidR="00197CAC" w:rsidRDefault="00197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6B9"/>
    <w:multiLevelType w:val="hybridMultilevel"/>
    <w:tmpl w:val="426475CE"/>
    <w:lvl w:ilvl="0" w:tplc="FC38B75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806CD2"/>
    <w:multiLevelType w:val="hybridMultilevel"/>
    <w:tmpl w:val="EC145D62"/>
    <w:lvl w:ilvl="0" w:tplc="E5940932">
      <w:start w:val="1"/>
      <w:numFmt w:val="bullet"/>
      <w:lvlText w:val=""/>
      <w:lvlJc w:val="left"/>
      <w:pPr>
        <w:tabs>
          <w:tab w:val="num" w:pos="1620"/>
        </w:tabs>
        <w:ind w:left="1620" w:hanging="360"/>
      </w:pPr>
      <w:rPr>
        <w:rFonts w:ascii="Symbol" w:hAnsi="Symbol" w:hint="default"/>
        <w:sz w:val="22"/>
        <w:szCs w:val="22"/>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144148E8"/>
    <w:multiLevelType w:val="hybridMultilevel"/>
    <w:tmpl w:val="5C0E072A"/>
    <w:lvl w:ilvl="0" w:tplc="57B2B0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376A76"/>
    <w:multiLevelType w:val="hybridMultilevel"/>
    <w:tmpl w:val="3F10D456"/>
    <w:lvl w:ilvl="0" w:tplc="734485CE">
      <w:start w:val="1"/>
      <w:numFmt w:val="bullet"/>
      <w:pStyle w:val="Lists"/>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35663E"/>
    <w:multiLevelType w:val="hybridMultilevel"/>
    <w:tmpl w:val="6510A276"/>
    <w:lvl w:ilvl="0" w:tplc="4412B61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50C9A"/>
    <w:multiLevelType w:val="hybridMultilevel"/>
    <w:tmpl w:val="789A210E"/>
    <w:lvl w:ilvl="0" w:tplc="C3B8177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7633DF3"/>
    <w:multiLevelType w:val="singleLevel"/>
    <w:tmpl w:val="9C4CBF4A"/>
    <w:lvl w:ilvl="0">
      <w:start w:val="1"/>
      <w:numFmt w:val="decimal"/>
      <w:lvlText w:val="%1."/>
      <w:lvlJc w:val="left"/>
      <w:pPr>
        <w:tabs>
          <w:tab w:val="num" w:pos="720"/>
        </w:tabs>
        <w:ind w:left="720" w:hanging="720"/>
      </w:pPr>
      <w:rPr>
        <w:rFonts w:hint="default"/>
      </w:rPr>
    </w:lvl>
  </w:abstractNum>
  <w:abstractNum w:abstractNumId="7">
    <w:nsid w:val="336F7311"/>
    <w:multiLevelType w:val="multilevel"/>
    <w:tmpl w:val="F4BA39DA"/>
    <w:lvl w:ilvl="0">
      <w:start w:val="2"/>
      <w:numFmt w:val="bullet"/>
      <w:lvlText w:val="-"/>
      <w:lvlJc w:val="left"/>
      <w:pPr>
        <w:tabs>
          <w:tab w:val="num" w:pos="1440"/>
        </w:tabs>
        <w:ind w:left="1440" w:hanging="72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AEC3B7B"/>
    <w:multiLevelType w:val="hybridMultilevel"/>
    <w:tmpl w:val="57E2F9E6"/>
    <w:lvl w:ilvl="0" w:tplc="E86C2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F36CFE"/>
    <w:multiLevelType w:val="hybridMultilevel"/>
    <w:tmpl w:val="30B283C6"/>
    <w:lvl w:ilvl="0" w:tplc="3982A8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1A452CD"/>
    <w:multiLevelType w:val="hybridMultilevel"/>
    <w:tmpl w:val="FC2AA240"/>
    <w:lvl w:ilvl="0" w:tplc="14346A38">
      <w:start w:val="1"/>
      <w:numFmt w:val="bullet"/>
      <w:pStyle w:val="Par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B3646"/>
    <w:multiLevelType w:val="hybridMultilevel"/>
    <w:tmpl w:val="074C5058"/>
    <w:lvl w:ilvl="0" w:tplc="05CCAB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E6214"/>
    <w:multiLevelType w:val="singleLevel"/>
    <w:tmpl w:val="B52A935E"/>
    <w:lvl w:ilvl="0">
      <w:start w:val="1"/>
      <w:numFmt w:val="decimal"/>
      <w:lvlText w:val="%1."/>
      <w:lvlJc w:val="left"/>
      <w:pPr>
        <w:tabs>
          <w:tab w:val="num" w:pos="720"/>
        </w:tabs>
        <w:ind w:left="720" w:hanging="720"/>
      </w:pPr>
      <w:rPr>
        <w:rFonts w:hint="default"/>
      </w:rPr>
    </w:lvl>
  </w:abstractNum>
  <w:abstractNum w:abstractNumId="13">
    <w:nsid w:val="607C50D0"/>
    <w:multiLevelType w:val="hybridMultilevel"/>
    <w:tmpl w:val="FFDAE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FA1461"/>
    <w:multiLevelType w:val="hybridMultilevel"/>
    <w:tmpl w:val="0A7EC24A"/>
    <w:lvl w:ilvl="0" w:tplc="E5940932">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D156AC"/>
    <w:multiLevelType w:val="hybridMultilevel"/>
    <w:tmpl w:val="F4BA39DA"/>
    <w:lvl w:ilvl="0" w:tplc="CBC85E08">
      <w:start w:val="2"/>
      <w:numFmt w:val="bullet"/>
      <w:lvlText w:val="-"/>
      <w:lvlJc w:val="left"/>
      <w:pPr>
        <w:tabs>
          <w:tab w:val="num" w:pos="1440"/>
        </w:tabs>
        <w:ind w:left="1440" w:hanging="72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4826D90"/>
    <w:multiLevelType w:val="multilevel"/>
    <w:tmpl w:val="72A0C500"/>
    <w:lvl w:ilvl="0">
      <w:start w:val="1"/>
      <w:numFmt w:val="decimal"/>
      <w:pStyle w:val="Heading1"/>
      <w:lvlText w:val="%1.0"/>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E2D4D4D"/>
    <w:multiLevelType w:val="hybridMultilevel"/>
    <w:tmpl w:val="AF92E4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6"/>
  </w:num>
  <w:num w:numId="4">
    <w:abstractNumId w:val="2"/>
  </w:num>
  <w:num w:numId="5">
    <w:abstractNumId w:val="4"/>
  </w:num>
  <w:num w:numId="6">
    <w:abstractNumId w:val="17"/>
  </w:num>
  <w:num w:numId="7">
    <w:abstractNumId w:val="15"/>
  </w:num>
  <w:num w:numId="8">
    <w:abstractNumId w:val="7"/>
  </w:num>
  <w:num w:numId="9">
    <w:abstractNumId w:val="1"/>
  </w:num>
  <w:num w:numId="10">
    <w:abstractNumId w:val="13"/>
  </w:num>
  <w:num w:numId="11">
    <w:abstractNumId w:val="0"/>
  </w:num>
  <w:num w:numId="12">
    <w:abstractNumId w:val="16"/>
  </w:num>
  <w:num w:numId="13">
    <w:abstractNumId w:val="3"/>
  </w:num>
  <w:num w:numId="14">
    <w:abstractNumId w:val="11"/>
  </w:num>
  <w:num w:numId="15">
    <w:abstractNumId w:val="3"/>
  </w:num>
  <w:num w:numId="16">
    <w:abstractNumId w:val="14"/>
  </w:num>
  <w:num w:numId="17">
    <w:abstractNumId w:val="9"/>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07039"/>
    <w:rsid w:val="0000009B"/>
    <w:rsid w:val="000026CE"/>
    <w:rsid w:val="00007039"/>
    <w:rsid w:val="000104D3"/>
    <w:rsid w:val="000108BA"/>
    <w:rsid w:val="00034F2A"/>
    <w:rsid w:val="00037AFA"/>
    <w:rsid w:val="00041140"/>
    <w:rsid w:val="00053113"/>
    <w:rsid w:val="0006452A"/>
    <w:rsid w:val="000660BE"/>
    <w:rsid w:val="00074704"/>
    <w:rsid w:val="00082E1D"/>
    <w:rsid w:val="00087ED6"/>
    <w:rsid w:val="00092C5C"/>
    <w:rsid w:val="000B3020"/>
    <w:rsid w:val="000B49FA"/>
    <w:rsid w:val="000B5E1A"/>
    <w:rsid w:val="000C0FF2"/>
    <w:rsid w:val="000C5CFA"/>
    <w:rsid w:val="000C5FBF"/>
    <w:rsid w:val="000D4AC7"/>
    <w:rsid w:val="000D5AF1"/>
    <w:rsid w:val="000D73E9"/>
    <w:rsid w:val="000E1B62"/>
    <w:rsid w:val="000E556E"/>
    <w:rsid w:val="000F3624"/>
    <w:rsid w:val="00114152"/>
    <w:rsid w:val="00132411"/>
    <w:rsid w:val="00135DE7"/>
    <w:rsid w:val="001379DE"/>
    <w:rsid w:val="0014014D"/>
    <w:rsid w:val="001616B3"/>
    <w:rsid w:val="00177B92"/>
    <w:rsid w:val="001803C0"/>
    <w:rsid w:val="00183320"/>
    <w:rsid w:val="001837B4"/>
    <w:rsid w:val="0018574D"/>
    <w:rsid w:val="00192FD4"/>
    <w:rsid w:val="00197CAC"/>
    <w:rsid w:val="001A0E12"/>
    <w:rsid w:val="001A762C"/>
    <w:rsid w:val="001C16BC"/>
    <w:rsid w:val="001C35CC"/>
    <w:rsid w:val="001D3993"/>
    <w:rsid w:val="001D58E5"/>
    <w:rsid w:val="001D6862"/>
    <w:rsid w:val="001E6318"/>
    <w:rsid w:val="001E6326"/>
    <w:rsid w:val="001F092E"/>
    <w:rsid w:val="001F31EA"/>
    <w:rsid w:val="002012FC"/>
    <w:rsid w:val="00204D20"/>
    <w:rsid w:val="00204E57"/>
    <w:rsid w:val="0022162B"/>
    <w:rsid w:val="00222899"/>
    <w:rsid w:val="002472D1"/>
    <w:rsid w:val="002505ED"/>
    <w:rsid w:val="00250F80"/>
    <w:rsid w:val="00267425"/>
    <w:rsid w:val="00271962"/>
    <w:rsid w:val="0027472B"/>
    <w:rsid w:val="00275BD5"/>
    <w:rsid w:val="00280039"/>
    <w:rsid w:val="00281900"/>
    <w:rsid w:val="00281AEF"/>
    <w:rsid w:val="00293012"/>
    <w:rsid w:val="002A12DF"/>
    <w:rsid w:val="002A1BE2"/>
    <w:rsid w:val="002B5FF1"/>
    <w:rsid w:val="002C142D"/>
    <w:rsid w:val="002D5E18"/>
    <w:rsid w:val="0030698A"/>
    <w:rsid w:val="003156CA"/>
    <w:rsid w:val="00316938"/>
    <w:rsid w:val="00323C46"/>
    <w:rsid w:val="003314E8"/>
    <w:rsid w:val="00334DBE"/>
    <w:rsid w:val="00343888"/>
    <w:rsid w:val="00347C00"/>
    <w:rsid w:val="003516C7"/>
    <w:rsid w:val="00354718"/>
    <w:rsid w:val="003709BE"/>
    <w:rsid w:val="00375897"/>
    <w:rsid w:val="00394049"/>
    <w:rsid w:val="003B5C45"/>
    <w:rsid w:val="003E0F8C"/>
    <w:rsid w:val="003E3B47"/>
    <w:rsid w:val="003F2B65"/>
    <w:rsid w:val="004140C3"/>
    <w:rsid w:val="004225DC"/>
    <w:rsid w:val="00423615"/>
    <w:rsid w:val="00425B34"/>
    <w:rsid w:val="00432A06"/>
    <w:rsid w:val="00432C17"/>
    <w:rsid w:val="00442BA3"/>
    <w:rsid w:val="0044352F"/>
    <w:rsid w:val="00443F52"/>
    <w:rsid w:val="00446849"/>
    <w:rsid w:val="00461B80"/>
    <w:rsid w:val="00463FCA"/>
    <w:rsid w:val="00471487"/>
    <w:rsid w:val="004813AB"/>
    <w:rsid w:val="0048793B"/>
    <w:rsid w:val="004911B8"/>
    <w:rsid w:val="004B3025"/>
    <w:rsid w:val="004B78CF"/>
    <w:rsid w:val="004C1BEB"/>
    <w:rsid w:val="004C2668"/>
    <w:rsid w:val="004C3293"/>
    <w:rsid w:val="004C7202"/>
    <w:rsid w:val="004F6E8F"/>
    <w:rsid w:val="004F7F6E"/>
    <w:rsid w:val="005126EC"/>
    <w:rsid w:val="00512FB8"/>
    <w:rsid w:val="00514048"/>
    <w:rsid w:val="005154A4"/>
    <w:rsid w:val="00522B92"/>
    <w:rsid w:val="00541369"/>
    <w:rsid w:val="005512F0"/>
    <w:rsid w:val="0056346C"/>
    <w:rsid w:val="00563D02"/>
    <w:rsid w:val="005762E8"/>
    <w:rsid w:val="005832D7"/>
    <w:rsid w:val="00584BB6"/>
    <w:rsid w:val="00597FBF"/>
    <w:rsid w:val="005A2186"/>
    <w:rsid w:val="005A5E8A"/>
    <w:rsid w:val="005B0CE1"/>
    <w:rsid w:val="005B6CA7"/>
    <w:rsid w:val="005B7298"/>
    <w:rsid w:val="005C2706"/>
    <w:rsid w:val="005C40FE"/>
    <w:rsid w:val="005D1A91"/>
    <w:rsid w:val="005E0BA6"/>
    <w:rsid w:val="005E4FFB"/>
    <w:rsid w:val="005E679C"/>
    <w:rsid w:val="005F7629"/>
    <w:rsid w:val="0060600E"/>
    <w:rsid w:val="00607C0F"/>
    <w:rsid w:val="00617096"/>
    <w:rsid w:val="00630086"/>
    <w:rsid w:val="00632DB9"/>
    <w:rsid w:val="006420A2"/>
    <w:rsid w:val="00644AC4"/>
    <w:rsid w:val="00647F59"/>
    <w:rsid w:val="00660B6C"/>
    <w:rsid w:val="00681977"/>
    <w:rsid w:val="00681CF1"/>
    <w:rsid w:val="006A260C"/>
    <w:rsid w:val="006D52EA"/>
    <w:rsid w:val="006D5B60"/>
    <w:rsid w:val="006E171F"/>
    <w:rsid w:val="006E200D"/>
    <w:rsid w:val="006E61D8"/>
    <w:rsid w:val="006E6625"/>
    <w:rsid w:val="006F3956"/>
    <w:rsid w:val="006F6126"/>
    <w:rsid w:val="00703A82"/>
    <w:rsid w:val="00712145"/>
    <w:rsid w:val="00722355"/>
    <w:rsid w:val="0072718B"/>
    <w:rsid w:val="007348D1"/>
    <w:rsid w:val="00735226"/>
    <w:rsid w:val="007459D0"/>
    <w:rsid w:val="00754380"/>
    <w:rsid w:val="007555DE"/>
    <w:rsid w:val="00762217"/>
    <w:rsid w:val="00786A28"/>
    <w:rsid w:val="00790A3F"/>
    <w:rsid w:val="00797B1B"/>
    <w:rsid w:val="007A1C9D"/>
    <w:rsid w:val="007A2689"/>
    <w:rsid w:val="007A6154"/>
    <w:rsid w:val="007B599E"/>
    <w:rsid w:val="007C5B68"/>
    <w:rsid w:val="007C763E"/>
    <w:rsid w:val="007D6277"/>
    <w:rsid w:val="007E1458"/>
    <w:rsid w:val="007E36D8"/>
    <w:rsid w:val="007F1894"/>
    <w:rsid w:val="007F4775"/>
    <w:rsid w:val="00811E25"/>
    <w:rsid w:val="008162BC"/>
    <w:rsid w:val="00820BE6"/>
    <w:rsid w:val="00827F50"/>
    <w:rsid w:val="008313A3"/>
    <w:rsid w:val="00855353"/>
    <w:rsid w:val="00863A46"/>
    <w:rsid w:val="00881473"/>
    <w:rsid w:val="0088216A"/>
    <w:rsid w:val="008A6FEB"/>
    <w:rsid w:val="008B3DC8"/>
    <w:rsid w:val="008C2594"/>
    <w:rsid w:val="008D16BD"/>
    <w:rsid w:val="008D31B3"/>
    <w:rsid w:val="008D35DC"/>
    <w:rsid w:val="008E24B3"/>
    <w:rsid w:val="008F1F84"/>
    <w:rsid w:val="008F5E4E"/>
    <w:rsid w:val="00912520"/>
    <w:rsid w:val="00915959"/>
    <w:rsid w:val="00940787"/>
    <w:rsid w:val="009431AD"/>
    <w:rsid w:val="00944823"/>
    <w:rsid w:val="009448DB"/>
    <w:rsid w:val="009449BE"/>
    <w:rsid w:val="00947080"/>
    <w:rsid w:val="00952000"/>
    <w:rsid w:val="009633CA"/>
    <w:rsid w:val="009643B1"/>
    <w:rsid w:val="00975082"/>
    <w:rsid w:val="00975095"/>
    <w:rsid w:val="009938DF"/>
    <w:rsid w:val="009A2B75"/>
    <w:rsid w:val="009A3942"/>
    <w:rsid w:val="009A6127"/>
    <w:rsid w:val="009B2523"/>
    <w:rsid w:val="009C204E"/>
    <w:rsid w:val="009D624D"/>
    <w:rsid w:val="009D7D24"/>
    <w:rsid w:val="009E306A"/>
    <w:rsid w:val="009F23C4"/>
    <w:rsid w:val="009F3607"/>
    <w:rsid w:val="00A00DC1"/>
    <w:rsid w:val="00A0662C"/>
    <w:rsid w:val="00A0790A"/>
    <w:rsid w:val="00A3730B"/>
    <w:rsid w:val="00A409B4"/>
    <w:rsid w:val="00A467EC"/>
    <w:rsid w:val="00A47B9D"/>
    <w:rsid w:val="00A5772B"/>
    <w:rsid w:val="00A637E8"/>
    <w:rsid w:val="00A7052B"/>
    <w:rsid w:val="00A75E82"/>
    <w:rsid w:val="00A7735C"/>
    <w:rsid w:val="00A77B93"/>
    <w:rsid w:val="00A81E79"/>
    <w:rsid w:val="00AB0A69"/>
    <w:rsid w:val="00AB651A"/>
    <w:rsid w:val="00AC49E5"/>
    <w:rsid w:val="00AF2F44"/>
    <w:rsid w:val="00AF787B"/>
    <w:rsid w:val="00B114D8"/>
    <w:rsid w:val="00B25714"/>
    <w:rsid w:val="00B3288E"/>
    <w:rsid w:val="00B33752"/>
    <w:rsid w:val="00B40EA1"/>
    <w:rsid w:val="00B40FB3"/>
    <w:rsid w:val="00B421F5"/>
    <w:rsid w:val="00B45A36"/>
    <w:rsid w:val="00B61066"/>
    <w:rsid w:val="00B62FE0"/>
    <w:rsid w:val="00B6754E"/>
    <w:rsid w:val="00B679C5"/>
    <w:rsid w:val="00B71A02"/>
    <w:rsid w:val="00B80DDD"/>
    <w:rsid w:val="00B94E22"/>
    <w:rsid w:val="00B97423"/>
    <w:rsid w:val="00B97836"/>
    <w:rsid w:val="00BA4408"/>
    <w:rsid w:val="00BA4A68"/>
    <w:rsid w:val="00BB0593"/>
    <w:rsid w:val="00BB2BB2"/>
    <w:rsid w:val="00BB3659"/>
    <w:rsid w:val="00BB74D6"/>
    <w:rsid w:val="00BC7F6B"/>
    <w:rsid w:val="00BD08AB"/>
    <w:rsid w:val="00BD58FA"/>
    <w:rsid w:val="00BF3D37"/>
    <w:rsid w:val="00C0036C"/>
    <w:rsid w:val="00C04BCA"/>
    <w:rsid w:val="00C07016"/>
    <w:rsid w:val="00C1514F"/>
    <w:rsid w:val="00C35FE8"/>
    <w:rsid w:val="00C3609D"/>
    <w:rsid w:val="00C41F25"/>
    <w:rsid w:val="00C50E5D"/>
    <w:rsid w:val="00C54C60"/>
    <w:rsid w:val="00C64D37"/>
    <w:rsid w:val="00C7431E"/>
    <w:rsid w:val="00C8610E"/>
    <w:rsid w:val="00C935E4"/>
    <w:rsid w:val="00C966FD"/>
    <w:rsid w:val="00CA5A6D"/>
    <w:rsid w:val="00CB28D5"/>
    <w:rsid w:val="00CB5788"/>
    <w:rsid w:val="00CD427E"/>
    <w:rsid w:val="00CE44E8"/>
    <w:rsid w:val="00CE4B9C"/>
    <w:rsid w:val="00CE4F51"/>
    <w:rsid w:val="00CF3D48"/>
    <w:rsid w:val="00D02CDF"/>
    <w:rsid w:val="00D272A5"/>
    <w:rsid w:val="00D36599"/>
    <w:rsid w:val="00D4219A"/>
    <w:rsid w:val="00D50482"/>
    <w:rsid w:val="00D50982"/>
    <w:rsid w:val="00D527A9"/>
    <w:rsid w:val="00D575E1"/>
    <w:rsid w:val="00D622BB"/>
    <w:rsid w:val="00D66D5E"/>
    <w:rsid w:val="00D74F10"/>
    <w:rsid w:val="00D75607"/>
    <w:rsid w:val="00D812A1"/>
    <w:rsid w:val="00D82360"/>
    <w:rsid w:val="00D91B37"/>
    <w:rsid w:val="00D92F67"/>
    <w:rsid w:val="00DB6EEF"/>
    <w:rsid w:val="00DC5002"/>
    <w:rsid w:val="00DC679A"/>
    <w:rsid w:val="00DD13C2"/>
    <w:rsid w:val="00DE52D3"/>
    <w:rsid w:val="00DE563B"/>
    <w:rsid w:val="00DE6589"/>
    <w:rsid w:val="00DE6FB2"/>
    <w:rsid w:val="00DE73CC"/>
    <w:rsid w:val="00DF3A46"/>
    <w:rsid w:val="00DF6DDC"/>
    <w:rsid w:val="00E01392"/>
    <w:rsid w:val="00E028C5"/>
    <w:rsid w:val="00E02FD4"/>
    <w:rsid w:val="00E30311"/>
    <w:rsid w:val="00E32457"/>
    <w:rsid w:val="00E3510F"/>
    <w:rsid w:val="00E4139B"/>
    <w:rsid w:val="00E83B02"/>
    <w:rsid w:val="00E869F0"/>
    <w:rsid w:val="00EA2CC4"/>
    <w:rsid w:val="00EA7098"/>
    <w:rsid w:val="00EB247E"/>
    <w:rsid w:val="00EB6F78"/>
    <w:rsid w:val="00EC1119"/>
    <w:rsid w:val="00ED3830"/>
    <w:rsid w:val="00EE7295"/>
    <w:rsid w:val="00F03BF7"/>
    <w:rsid w:val="00F12A0C"/>
    <w:rsid w:val="00F140A3"/>
    <w:rsid w:val="00F15DBC"/>
    <w:rsid w:val="00F17E9F"/>
    <w:rsid w:val="00F221F0"/>
    <w:rsid w:val="00F25A78"/>
    <w:rsid w:val="00F27721"/>
    <w:rsid w:val="00F60B91"/>
    <w:rsid w:val="00F70FF3"/>
    <w:rsid w:val="00F75B1A"/>
    <w:rsid w:val="00FA2C0C"/>
    <w:rsid w:val="00FA4E8D"/>
    <w:rsid w:val="00FB1E34"/>
    <w:rsid w:val="00FB214D"/>
    <w:rsid w:val="00FC392F"/>
    <w:rsid w:val="00FD1CFC"/>
    <w:rsid w:val="00FD3BB6"/>
    <w:rsid w:val="00FD6317"/>
    <w:rsid w:val="00FD6DAB"/>
    <w:rsid w:val="00FD7A5C"/>
    <w:rsid w:val="00FE0769"/>
    <w:rsid w:val="00FE4CCA"/>
    <w:rsid w:val="00FF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5:docId w15:val="{E71AA11A-6D35-4B02-A4E8-D5611536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19"/>
    <w:rPr>
      <w:sz w:val="24"/>
    </w:rPr>
  </w:style>
  <w:style w:type="paragraph" w:styleId="Heading1">
    <w:name w:val="heading 1"/>
    <w:aliases w:val="Heading Level 1"/>
    <w:basedOn w:val="Normal"/>
    <w:next w:val="Normal"/>
    <w:qFormat/>
    <w:rsid w:val="005B0CE1"/>
    <w:pPr>
      <w:keepNext/>
      <w:numPr>
        <w:numId w:val="12"/>
      </w:numPr>
      <w:outlineLvl w:val="0"/>
    </w:pPr>
    <w:rPr>
      <w:rFonts w:ascii="Arial" w:hAnsi="Arial"/>
      <w:b/>
    </w:rPr>
  </w:style>
  <w:style w:type="paragraph" w:styleId="Heading2">
    <w:name w:val="heading 2"/>
    <w:basedOn w:val="Normal"/>
    <w:next w:val="Normal"/>
    <w:qFormat/>
    <w:rsid w:val="001E63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1119"/>
    <w:pPr>
      <w:ind w:left="2160"/>
    </w:pPr>
    <w:rPr>
      <w:snapToGrid w:val="0"/>
    </w:rPr>
  </w:style>
  <w:style w:type="paragraph" w:styleId="Header">
    <w:name w:val="header"/>
    <w:basedOn w:val="Normal"/>
    <w:rsid w:val="00863A46"/>
    <w:pPr>
      <w:tabs>
        <w:tab w:val="center" w:pos="4320"/>
        <w:tab w:val="right" w:pos="8640"/>
      </w:tabs>
    </w:pPr>
  </w:style>
  <w:style w:type="paragraph" w:styleId="Footer">
    <w:name w:val="footer"/>
    <w:basedOn w:val="Normal"/>
    <w:link w:val="FooterChar"/>
    <w:uiPriority w:val="99"/>
    <w:rsid w:val="00863A46"/>
    <w:pPr>
      <w:tabs>
        <w:tab w:val="center" w:pos="4320"/>
        <w:tab w:val="right" w:pos="8640"/>
      </w:tabs>
    </w:pPr>
  </w:style>
  <w:style w:type="table" w:styleId="TableGrid">
    <w:name w:val="Table Grid"/>
    <w:basedOn w:val="TableNormal"/>
    <w:rsid w:val="007F1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B3025"/>
    <w:rPr>
      <w:rFonts w:ascii="Tahoma" w:hAnsi="Tahoma" w:cs="Tahoma"/>
      <w:sz w:val="16"/>
      <w:szCs w:val="16"/>
    </w:rPr>
  </w:style>
  <w:style w:type="paragraph" w:styleId="BodyText">
    <w:name w:val="Body Text"/>
    <w:basedOn w:val="Normal"/>
    <w:rsid w:val="00703A82"/>
    <w:pPr>
      <w:spacing w:after="120"/>
    </w:pPr>
  </w:style>
  <w:style w:type="character" w:styleId="PageNumber">
    <w:name w:val="page number"/>
    <w:basedOn w:val="DefaultParagraphFont"/>
    <w:rsid w:val="004813AB"/>
  </w:style>
  <w:style w:type="character" w:customStyle="1" w:styleId="EmailStyle221">
    <w:name w:val="EmailStyle221"/>
    <w:basedOn w:val="DefaultParagraphFont"/>
    <w:semiHidden/>
    <w:rsid w:val="00C966FD"/>
    <w:rPr>
      <w:rFonts w:ascii="Arial" w:hAnsi="Arial" w:cs="Arial"/>
      <w:color w:val="auto"/>
      <w:sz w:val="20"/>
      <w:szCs w:val="20"/>
    </w:rPr>
  </w:style>
  <w:style w:type="paragraph" w:customStyle="1" w:styleId="Lists">
    <w:name w:val="Lists"/>
    <w:basedOn w:val="BodyText"/>
    <w:autoRedefine/>
    <w:rsid w:val="001E6326"/>
    <w:pPr>
      <w:keepNext/>
      <w:numPr>
        <w:numId w:val="13"/>
      </w:numPr>
      <w:spacing w:after="0"/>
    </w:pPr>
    <w:rPr>
      <w:sz w:val="22"/>
      <w:szCs w:val="22"/>
      <w:lang w:val="en-CA"/>
    </w:rPr>
  </w:style>
  <w:style w:type="character" w:styleId="FollowedHyperlink">
    <w:name w:val="FollowedHyperlink"/>
    <w:basedOn w:val="DefaultParagraphFont"/>
    <w:rsid w:val="00A467EC"/>
    <w:rPr>
      <w:color w:val="800080"/>
      <w:u w:val="single"/>
    </w:rPr>
  </w:style>
  <w:style w:type="character" w:customStyle="1" w:styleId="FooterChar">
    <w:name w:val="Footer Char"/>
    <w:basedOn w:val="DefaultParagraphFont"/>
    <w:link w:val="Footer"/>
    <w:uiPriority w:val="99"/>
    <w:rsid w:val="009643B1"/>
    <w:rPr>
      <w:sz w:val="24"/>
    </w:rPr>
  </w:style>
  <w:style w:type="character" w:styleId="CommentReference">
    <w:name w:val="annotation reference"/>
    <w:basedOn w:val="DefaultParagraphFont"/>
    <w:rsid w:val="00B40FB3"/>
    <w:rPr>
      <w:sz w:val="16"/>
      <w:szCs w:val="16"/>
    </w:rPr>
  </w:style>
  <w:style w:type="paragraph" w:styleId="CommentText">
    <w:name w:val="annotation text"/>
    <w:basedOn w:val="Normal"/>
    <w:link w:val="CommentTextChar"/>
    <w:rsid w:val="00B40FB3"/>
    <w:rPr>
      <w:sz w:val="20"/>
    </w:rPr>
  </w:style>
  <w:style w:type="character" w:customStyle="1" w:styleId="CommentTextChar">
    <w:name w:val="Comment Text Char"/>
    <w:basedOn w:val="DefaultParagraphFont"/>
    <w:link w:val="CommentText"/>
    <w:rsid w:val="00B40FB3"/>
  </w:style>
  <w:style w:type="paragraph" w:styleId="CommentSubject">
    <w:name w:val="annotation subject"/>
    <w:basedOn w:val="CommentText"/>
    <w:next w:val="CommentText"/>
    <w:link w:val="CommentSubjectChar"/>
    <w:rsid w:val="00B40FB3"/>
    <w:rPr>
      <w:b/>
      <w:bCs/>
    </w:rPr>
  </w:style>
  <w:style w:type="character" w:customStyle="1" w:styleId="CommentSubjectChar">
    <w:name w:val="Comment Subject Char"/>
    <w:basedOn w:val="CommentTextChar"/>
    <w:link w:val="CommentSubject"/>
    <w:rsid w:val="00B40FB3"/>
    <w:rPr>
      <w:b/>
      <w:bCs/>
    </w:rPr>
  </w:style>
  <w:style w:type="character" w:styleId="Hyperlink">
    <w:name w:val="Hyperlink"/>
    <w:basedOn w:val="DefaultParagraphFont"/>
    <w:uiPriority w:val="99"/>
    <w:unhideWhenUsed/>
    <w:rsid w:val="00E01392"/>
    <w:rPr>
      <w:color w:val="0000FF" w:themeColor="hyperlink"/>
      <w:u w:val="single"/>
    </w:rPr>
  </w:style>
  <w:style w:type="paragraph" w:customStyle="1" w:styleId="Parabody">
    <w:name w:val="Para_body"/>
    <w:basedOn w:val="Normal"/>
    <w:link w:val="ParabodyChar"/>
    <w:qFormat/>
    <w:rsid w:val="00E01392"/>
    <w:pPr>
      <w:tabs>
        <w:tab w:val="left" w:pos="720"/>
      </w:tabs>
      <w:spacing w:after="120"/>
      <w:ind w:left="720"/>
    </w:pPr>
    <w:rPr>
      <w:rFonts w:ascii="Arial" w:eastAsiaTheme="minorEastAsia" w:hAnsi="Arial" w:cs="Arial"/>
      <w:sz w:val="22"/>
      <w:szCs w:val="22"/>
      <w:lang w:val="en-CA" w:eastAsia="en-CA"/>
    </w:rPr>
  </w:style>
  <w:style w:type="character" w:customStyle="1" w:styleId="ParabodyChar">
    <w:name w:val="Para_body Char"/>
    <w:basedOn w:val="DefaultParagraphFont"/>
    <w:link w:val="Parabody"/>
    <w:rsid w:val="00E01392"/>
    <w:rPr>
      <w:rFonts w:ascii="Arial" w:eastAsiaTheme="minorEastAsia" w:hAnsi="Arial" w:cs="Arial"/>
      <w:sz w:val="22"/>
      <w:szCs w:val="22"/>
      <w:lang w:val="en-CA" w:eastAsia="en-CA"/>
    </w:rPr>
  </w:style>
  <w:style w:type="paragraph" w:customStyle="1" w:styleId="Paracaption">
    <w:name w:val="Para_caption"/>
    <w:basedOn w:val="Normal"/>
    <w:link w:val="ParacaptionChar"/>
    <w:qFormat/>
    <w:rsid w:val="0000009B"/>
    <w:pPr>
      <w:autoSpaceDE w:val="0"/>
      <w:autoSpaceDN w:val="0"/>
      <w:adjustRightInd w:val="0"/>
    </w:pPr>
    <w:rPr>
      <w:rFonts w:ascii="Arial" w:eastAsiaTheme="minorEastAsia" w:hAnsi="Arial" w:cs="Arial"/>
      <w:i/>
      <w:sz w:val="18"/>
      <w:szCs w:val="18"/>
      <w:lang w:val="en-CA" w:eastAsia="en-CA"/>
    </w:rPr>
  </w:style>
  <w:style w:type="character" w:customStyle="1" w:styleId="ParacaptionChar">
    <w:name w:val="Para_caption Char"/>
    <w:basedOn w:val="DefaultParagraphFont"/>
    <w:link w:val="Paracaption"/>
    <w:rsid w:val="0000009B"/>
    <w:rPr>
      <w:rFonts w:ascii="Arial" w:eastAsiaTheme="minorEastAsia" w:hAnsi="Arial" w:cs="Arial"/>
      <w:i/>
      <w:sz w:val="18"/>
      <w:szCs w:val="18"/>
      <w:lang w:val="en-CA" w:eastAsia="en-CA"/>
    </w:rPr>
  </w:style>
  <w:style w:type="paragraph" w:customStyle="1" w:styleId="Paralist">
    <w:name w:val="Para_list"/>
    <w:basedOn w:val="ListParagraph"/>
    <w:link w:val="ParalistChar"/>
    <w:qFormat/>
    <w:rsid w:val="009C204E"/>
    <w:pPr>
      <w:numPr>
        <w:numId w:val="18"/>
      </w:numPr>
      <w:autoSpaceDE w:val="0"/>
      <w:autoSpaceDN w:val="0"/>
      <w:adjustRightInd w:val="0"/>
      <w:ind w:left="1080" w:hanging="180"/>
    </w:pPr>
    <w:rPr>
      <w:rFonts w:ascii="Arial" w:eastAsiaTheme="minorEastAsia" w:hAnsi="Arial" w:cs="Arial"/>
      <w:sz w:val="20"/>
      <w:lang w:val="en-CA" w:eastAsia="en-CA"/>
    </w:rPr>
  </w:style>
  <w:style w:type="character" w:customStyle="1" w:styleId="ParalistChar">
    <w:name w:val="Para_list Char"/>
    <w:basedOn w:val="DefaultParagraphFont"/>
    <w:link w:val="Paralist"/>
    <w:rsid w:val="009C204E"/>
    <w:rPr>
      <w:rFonts w:ascii="Arial" w:eastAsiaTheme="minorEastAsia" w:hAnsi="Arial" w:cs="Arial"/>
      <w:lang w:val="en-CA" w:eastAsia="en-CA"/>
    </w:rPr>
  </w:style>
  <w:style w:type="paragraph" w:styleId="ListParagraph">
    <w:name w:val="List Paragraph"/>
    <w:basedOn w:val="Normal"/>
    <w:uiPriority w:val="34"/>
    <w:qFormat/>
    <w:rsid w:val="009C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Dynamic Mutual Funds</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 Russell</dc:creator>
  <cp:lastModifiedBy>OVH SAS</cp:lastModifiedBy>
  <cp:revision>6</cp:revision>
  <cp:lastPrinted>2020-04-21T19:27:00Z</cp:lastPrinted>
  <dcterms:created xsi:type="dcterms:W3CDTF">2012-03-26T19:12:00Z</dcterms:created>
  <dcterms:modified xsi:type="dcterms:W3CDTF">2020-04-21T19:27:00Z</dcterms:modified>
</cp:coreProperties>
</file>